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526FC" w:rsidP="00A526FC" w:rsidRDefault="00A526FC" w14:paraId="6C5BB3D8" w14:textId="0E7FBBE4">
      <w:pPr>
        <w:pStyle w:val="NoSpacing"/>
      </w:pPr>
    </w:p>
    <w:p w:rsidR="00A526FC" w:rsidP="00A526FC" w:rsidRDefault="00A526FC" w14:paraId="0A9F8A87" w14:textId="506A14C0">
      <w:pPr>
        <w:pStyle w:val="NoSpacing"/>
      </w:pPr>
    </w:p>
    <w:p w:rsidR="00A526FC" w:rsidP="00A526FC" w:rsidRDefault="00A526FC" w14:paraId="70F7DFD2" w14:textId="19016C4E">
      <w:pPr>
        <w:pStyle w:val="NoSpacing"/>
      </w:pPr>
    </w:p>
    <w:p w:rsidR="00A526FC" w:rsidP="00A526FC" w:rsidRDefault="00A526FC" w14:paraId="24D19FB2" w14:textId="5557CD3A">
      <w:pPr>
        <w:pStyle w:val="NoSpacing"/>
      </w:pPr>
      <w:r>
        <w:rPr>
          <w:noProof/>
        </w:rPr>
        <w:drawing>
          <wp:anchor distT="0" distB="0" distL="114300" distR="114300" simplePos="0" relativeHeight="251664384" behindDoc="1" locked="0" layoutInCell="1" allowOverlap="1" wp14:anchorId="449E9444" wp14:editId="213952D0">
            <wp:simplePos x="0" y="0"/>
            <wp:positionH relativeFrom="column">
              <wp:posOffset>-184150</wp:posOffset>
            </wp:positionH>
            <wp:positionV relativeFrom="paragraph">
              <wp:posOffset>199390</wp:posOffset>
            </wp:positionV>
            <wp:extent cx="3897808" cy="927100"/>
            <wp:effectExtent l="0" t="0" r="7620" b="6350"/>
            <wp:wrapNone/>
            <wp:docPr id="123848159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03029" name="Picture 1" descr="A black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897808" cy="927100"/>
                    </a:xfrm>
                    <a:prstGeom prst="rect">
                      <a:avLst/>
                    </a:prstGeom>
                  </pic:spPr>
                </pic:pic>
              </a:graphicData>
            </a:graphic>
            <wp14:sizeRelH relativeFrom="page">
              <wp14:pctWidth>0</wp14:pctWidth>
            </wp14:sizeRelH>
            <wp14:sizeRelV relativeFrom="page">
              <wp14:pctHeight>0</wp14:pctHeight>
            </wp14:sizeRelV>
          </wp:anchor>
        </w:drawing>
      </w:r>
    </w:p>
    <w:p w:rsidR="00A526FC" w:rsidP="00A526FC" w:rsidRDefault="00A526FC" w14:paraId="1F9B4B18" w14:textId="77777777">
      <w:pPr>
        <w:pStyle w:val="NoSpacing"/>
      </w:pPr>
    </w:p>
    <w:p w:rsidR="00A526FC" w:rsidP="00A526FC" w:rsidRDefault="00A526FC" w14:paraId="48BA01A5" w14:textId="77777777">
      <w:pPr>
        <w:pStyle w:val="NoSpacing"/>
      </w:pPr>
    </w:p>
    <w:p w:rsidR="00A526FC" w:rsidP="00A526FC" w:rsidRDefault="00A526FC" w14:paraId="3798F842" w14:textId="77777777">
      <w:pPr>
        <w:pStyle w:val="NoSpacing"/>
      </w:pPr>
    </w:p>
    <w:p w:rsidR="00A526FC" w:rsidP="00A526FC" w:rsidRDefault="00A526FC" w14:paraId="723C32BF" w14:textId="77777777">
      <w:pPr>
        <w:pStyle w:val="NoSpacing"/>
      </w:pPr>
    </w:p>
    <w:p w:rsidRPr="00A526FC" w:rsidR="00A526FC" w:rsidP="00A526FC" w:rsidRDefault="00A526FC" w14:paraId="17FB03AB" w14:textId="77777777">
      <w:pPr>
        <w:pStyle w:val="NoSpacing"/>
        <w:rPr>
          <w:sz w:val="36"/>
          <w:szCs w:val="36"/>
        </w:rPr>
      </w:pPr>
    </w:p>
    <w:p w:rsidRPr="00A526FC" w:rsidR="00A526FC" w:rsidP="00A526FC" w:rsidRDefault="00A526FC" w14:paraId="0EDE7105" w14:textId="77777777">
      <w:pPr>
        <w:pStyle w:val="NoSpacing"/>
        <w:rPr>
          <w:sz w:val="36"/>
          <w:szCs w:val="36"/>
        </w:rPr>
      </w:pPr>
    </w:p>
    <w:p w:rsidR="007B5586" w:rsidP="00A526FC" w:rsidRDefault="00A526FC" w14:paraId="073ADD3D" w14:textId="77777777">
      <w:pPr>
        <w:pStyle w:val="NoSpacing"/>
        <w:rPr>
          <w:sz w:val="36"/>
          <w:szCs w:val="36"/>
        </w:rPr>
      </w:pPr>
      <w:r w:rsidRPr="00A526FC">
        <w:rPr>
          <w:sz w:val="36"/>
          <w:szCs w:val="36"/>
        </w:rPr>
        <w:t xml:space="preserve">Our UK Gender Pay </w:t>
      </w:r>
    </w:p>
    <w:p w:rsidRPr="00A526FC" w:rsidR="00A526FC" w:rsidP="00A526FC" w:rsidRDefault="00A526FC" w14:paraId="21629B9A" w14:textId="22809853">
      <w:pPr>
        <w:pStyle w:val="NoSpacing"/>
        <w:rPr>
          <w:sz w:val="36"/>
          <w:szCs w:val="36"/>
        </w:rPr>
      </w:pPr>
      <w:r w:rsidRPr="0DF2A950">
        <w:rPr>
          <w:sz w:val="36"/>
          <w:szCs w:val="36"/>
        </w:rPr>
        <w:t>Gap Report</w:t>
      </w:r>
      <w:r w:rsidRPr="0DF2A950" w:rsidR="007B5586">
        <w:rPr>
          <w:sz w:val="36"/>
          <w:szCs w:val="36"/>
        </w:rPr>
        <w:t xml:space="preserve"> </w:t>
      </w:r>
      <w:r w:rsidRPr="0DF2A950">
        <w:rPr>
          <w:sz w:val="36"/>
          <w:szCs w:val="36"/>
        </w:rPr>
        <w:t>202</w:t>
      </w:r>
      <w:r w:rsidRPr="0DF2A950" w:rsidR="2646B8B9">
        <w:rPr>
          <w:sz w:val="36"/>
          <w:szCs w:val="36"/>
        </w:rPr>
        <w:t>4</w:t>
      </w:r>
    </w:p>
    <w:p w:rsidR="00A526FC" w:rsidP="00A526FC" w:rsidRDefault="00A526FC" w14:paraId="730F1DF3" w14:textId="77777777">
      <w:pPr>
        <w:pStyle w:val="NoSpacing"/>
      </w:pPr>
    </w:p>
    <w:p w:rsidR="00A526FC" w:rsidP="00A526FC" w:rsidRDefault="00A526FC" w14:paraId="262C7CC1" w14:textId="77777777">
      <w:pPr>
        <w:pStyle w:val="NoSpacing"/>
      </w:pPr>
    </w:p>
    <w:p w:rsidR="00A526FC" w:rsidP="00A526FC" w:rsidRDefault="00A526FC" w14:paraId="7D9D1745" w14:textId="77777777">
      <w:pPr>
        <w:pStyle w:val="NoSpacing"/>
      </w:pPr>
    </w:p>
    <w:p w:rsidR="00A526FC" w:rsidP="00A526FC" w:rsidRDefault="00A526FC" w14:paraId="2DD926B6" w14:textId="77777777">
      <w:pPr>
        <w:pStyle w:val="NoSpacing"/>
      </w:pPr>
    </w:p>
    <w:p w:rsidR="00A526FC" w:rsidP="00A526FC" w:rsidRDefault="00A526FC" w14:paraId="17E8C1CF" w14:textId="77777777">
      <w:pPr>
        <w:pStyle w:val="NoSpacing"/>
      </w:pPr>
    </w:p>
    <w:p w:rsidR="00A526FC" w:rsidP="00A526FC" w:rsidRDefault="00A526FC" w14:paraId="1324D90E" w14:textId="77777777">
      <w:pPr>
        <w:pStyle w:val="NoSpacing"/>
      </w:pPr>
    </w:p>
    <w:p w:rsidR="00A526FC" w:rsidP="00A526FC" w:rsidRDefault="00A526FC" w14:paraId="6B0AEB41" w14:textId="77777777">
      <w:pPr>
        <w:pStyle w:val="NoSpacing"/>
      </w:pPr>
    </w:p>
    <w:p w:rsidR="00A526FC" w:rsidP="00A526FC" w:rsidRDefault="00A526FC" w14:paraId="275AD3FF" w14:textId="77777777">
      <w:pPr>
        <w:pStyle w:val="NoSpacing"/>
      </w:pPr>
    </w:p>
    <w:p w:rsidR="00A526FC" w:rsidP="00A526FC" w:rsidRDefault="00A526FC" w14:paraId="6DB053B4" w14:textId="77777777">
      <w:pPr>
        <w:pStyle w:val="NoSpacing"/>
      </w:pPr>
    </w:p>
    <w:p w:rsidR="00A526FC" w:rsidP="00A526FC" w:rsidRDefault="00A526FC" w14:paraId="20D01EF9" w14:textId="77777777">
      <w:pPr>
        <w:pStyle w:val="NoSpacing"/>
      </w:pPr>
    </w:p>
    <w:p w:rsidR="00A526FC" w:rsidP="00A526FC" w:rsidRDefault="00A526FC" w14:paraId="3491E50A" w14:textId="77777777">
      <w:pPr>
        <w:pStyle w:val="NoSpacing"/>
      </w:pPr>
    </w:p>
    <w:p w:rsidR="00A526FC" w:rsidP="00A526FC" w:rsidRDefault="00A526FC" w14:paraId="67DE58FD" w14:textId="77777777">
      <w:pPr>
        <w:pStyle w:val="NoSpacing"/>
      </w:pPr>
    </w:p>
    <w:p w:rsidR="00A526FC" w:rsidP="00A526FC" w:rsidRDefault="00A526FC" w14:paraId="669552B1" w14:textId="77777777">
      <w:pPr>
        <w:pStyle w:val="NoSpacing"/>
      </w:pPr>
    </w:p>
    <w:p w:rsidR="00A526FC" w:rsidP="00A526FC" w:rsidRDefault="00A526FC" w14:paraId="47843775" w14:textId="77777777">
      <w:pPr>
        <w:pStyle w:val="NoSpacing"/>
      </w:pPr>
    </w:p>
    <w:p w:rsidR="00A526FC" w:rsidP="00A526FC" w:rsidRDefault="00A526FC" w14:paraId="439B5055" w14:textId="77777777">
      <w:pPr>
        <w:pStyle w:val="NoSpacing"/>
      </w:pPr>
    </w:p>
    <w:p w:rsidR="00A526FC" w:rsidP="00A526FC" w:rsidRDefault="00A526FC" w14:paraId="2D160566" w14:textId="77777777">
      <w:pPr>
        <w:pStyle w:val="NoSpacing"/>
      </w:pPr>
    </w:p>
    <w:p w:rsidR="00A526FC" w:rsidP="00A526FC" w:rsidRDefault="00A526FC" w14:paraId="028B7F98" w14:textId="77777777">
      <w:pPr>
        <w:pStyle w:val="NoSpacing"/>
      </w:pPr>
    </w:p>
    <w:p w:rsidR="00A526FC" w:rsidP="00A526FC" w:rsidRDefault="00A526FC" w14:paraId="78A44502" w14:textId="77777777">
      <w:pPr>
        <w:pStyle w:val="NoSpacing"/>
      </w:pPr>
    </w:p>
    <w:p w:rsidR="00A526FC" w:rsidP="00A526FC" w:rsidRDefault="00A526FC" w14:paraId="613B7C2C" w14:textId="77777777">
      <w:pPr>
        <w:pStyle w:val="NoSpacing"/>
      </w:pPr>
    </w:p>
    <w:p w:rsidR="00A526FC" w:rsidP="00A526FC" w:rsidRDefault="00A526FC" w14:paraId="1C5C6125" w14:textId="77777777">
      <w:pPr>
        <w:pStyle w:val="NoSpacing"/>
      </w:pPr>
    </w:p>
    <w:p w:rsidR="00A526FC" w:rsidP="00A526FC" w:rsidRDefault="00A526FC" w14:paraId="7C971EA3" w14:textId="77777777">
      <w:pPr>
        <w:pStyle w:val="NoSpacing"/>
      </w:pPr>
    </w:p>
    <w:p w:rsidR="00A526FC" w:rsidP="00A526FC" w:rsidRDefault="00A526FC" w14:paraId="489F4500" w14:textId="77777777">
      <w:pPr>
        <w:pStyle w:val="NoSpacing"/>
      </w:pPr>
    </w:p>
    <w:p w:rsidR="00A526FC" w:rsidP="00A526FC" w:rsidRDefault="00A526FC" w14:paraId="6B31C11D" w14:textId="77777777">
      <w:pPr>
        <w:pStyle w:val="NoSpacing"/>
      </w:pPr>
    </w:p>
    <w:p w:rsidR="00A526FC" w:rsidP="00A526FC" w:rsidRDefault="00A526FC" w14:paraId="666D1857" w14:textId="77777777">
      <w:pPr>
        <w:pStyle w:val="NoSpacing"/>
      </w:pPr>
    </w:p>
    <w:p w:rsidR="00A526FC" w:rsidP="00A526FC" w:rsidRDefault="00A526FC" w14:paraId="2E15025B" w14:textId="77777777">
      <w:pPr>
        <w:pStyle w:val="NoSpacing"/>
      </w:pPr>
    </w:p>
    <w:p w:rsidR="00A526FC" w:rsidP="00A526FC" w:rsidRDefault="00A526FC" w14:paraId="114BBCF0" w14:textId="77777777">
      <w:pPr>
        <w:pStyle w:val="NoSpacing"/>
      </w:pPr>
    </w:p>
    <w:p w:rsidR="00A526FC" w:rsidP="00A526FC" w:rsidRDefault="00A526FC" w14:paraId="7B3AFC6C" w14:textId="77777777">
      <w:pPr>
        <w:pStyle w:val="NoSpacing"/>
      </w:pPr>
    </w:p>
    <w:p w:rsidR="00A526FC" w:rsidP="00A526FC" w:rsidRDefault="00A526FC" w14:paraId="18C8E390" w14:textId="77777777">
      <w:pPr>
        <w:pStyle w:val="NoSpacing"/>
      </w:pPr>
    </w:p>
    <w:p w:rsidR="00A526FC" w:rsidP="00A526FC" w:rsidRDefault="00A526FC" w14:paraId="2EB985B9" w14:textId="77777777">
      <w:pPr>
        <w:pStyle w:val="NoSpacing"/>
      </w:pPr>
    </w:p>
    <w:p w:rsidR="00A526FC" w:rsidP="00A526FC" w:rsidRDefault="00A526FC" w14:paraId="5BCCA7D4" w14:textId="77777777">
      <w:pPr>
        <w:pStyle w:val="NoSpacing"/>
      </w:pPr>
    </w:p>
    <w:p w:rsidR="00A526FC" w:rsidP="00A526FC" w:rsidRDefault="00A526FC" w14:paraId="61B3BB7B" w14:textId="77777777">
      <w:pPr>
        <w:pStyle w:val="NoSpacing"/>
      </w:pPr>
    </w:p>
    <w:p w:rsidR="00A526FC" w:rsidP="00A526FC" w:rsidRDefault="00A526FC" w14:paraId="0B122B0A" w14:textId="77777777">
      <w:pPr>
        <w:pStyle w:val="NoSpacing"/>
      </w:pPr>
    </w:p>
    <w:p w:rsidR="00A526FC" w:rsidP="00A526FC" w:rsidRDefault="00A526FC" w14:paraId="3A109661" w14:textId="77777777">
      <w:pPr>
        <w:pStyle w:val="NoSpacing"/>
      </w:pPr>
    </w:p>
    <w:p w:rsidR="00A526FC" w:rsidP="00A526FC" w:rsidRDefault="00A526FC" w14:paraId="44EB88C4" w14:textId="77777777">
      <w:pPr>
        <w:pStyle w:val="NoSpacing"/>
      </w:pPr>
    </w:p>
    <w:p w:rsidR="00A526FC" w:rsidP="00A526FC" w:rsidRDefault="00A526FC" w14:paraId="346AC91A" w14:textId="77777777">
      <w:pPr>
        <w:pStyle w:val="NoSpacing"/>
      </w:pPr>
    </w:p>
    <w:p w:rsidR="00A526FC" w:rsidP="00A526FC" w:rsidRDefault="00A526FC" w14:paraId="32934E8D" w14:textId="77777777">
      <w:pPr>
        <w:pStyle w:val="NoSpacing"/>
      </w:pPr>
    </w:p>
    <w:p w:rsidR="00A526FC" w:rsidP="00A526FC" w:rsidRDefault="00A526FC" w14:paraId="274422E1" w14:textId="77777777">
      <w:pPr>
        <w:pStyle w:val="NoSpacing"/>
      </w:pPr>
    </w:p>
    <w:p w:rsidR="00A526FC" w:rsidP="00A526FC" w:rsidRDefault="00A526FC" w14:paraId="487A3A1E" w14:textId="1A3141FE">
      <w:pPr>
        <w:pStyle w:val="NoSpacing"/>
      </w:pPr>
      <w:r>
        <w:lastRenderedPageBreak/>
        <w:t>The Birmingham Children’s Trust</w:t>
      </w:r>
    </w:p>
    <w:p w:rsidR="00A526FC" w:rsidP="00A526FC" w:rsidRDefault="00A526FC" w14:paraId="75BC0ED0" w14:textId="2CAB6C40">
      <w:pPr>
        <w:pStyle w:val="NoSpacing"/>
      </w:pPr>
      <w:r>
        <w:t>Gender Pay Gap Report 202</w:t>
      </w:r>
      <w:r w:rsidR="00286602">
        <w:t>4</w:t>
      </w:r>
    </w:p>
    <w:p w:rsidR="00A526FC" w:rsidP="00A526FC" w:rsidRDefault="00A526FC" w14:paraId="72B121FB" w14:textId="77777777">
      <w:pPr>
        <w:pStyle w:val="NoSpacing"/>
      </w:pPr>
    </w:p>
    <w:sdt>
      <w:sdtPr>
        <w:id w:val="-1952858481"/>
        <w:docPartObj>
          <w:docPartGallery w:val="Table of Contents"/>
          <w:docPartUnique/>
        </w:docPartObj>
        <w:rPr>
          <w:rFonts w:ascii="Calibri" w:hAnsi="Calibri" w:eastAsia="" w:cs="" w:asciiTheme="minorAscii" w:hAnsiTheme="minorAscii" w:eastAsiaTheme="minorEastAsia" w:cstheme="minorBidi"/>
          <w:color w:val="auto"/>
          <w:kern w:val="2"/>
          <w:sz w:val="22"/>
          <w:szCs w:val="22"/>
          <w:lang w:val="en-GB"/>
          <w14:ligatures w14:val="standardContextual"/>
        </w:rPr>
      </w:sdtPr>
      <w:sdtEndPr>
        <w:rPr>
          <w:rFonts w:ascii="Calibri" w:hAnsi="Calibri" w:eastAsia="" w:cs="" w:asciiTheme="minorAscii" w:hAnsiTheme="minorAscii" w:eastAsiaTheme="minorEastAsia" w:cstheme="minorBidi"/>
          <w:noProof/>
          <w:color w:val="auto"/>
          <w:sz w:val="22"/>
          <w:szCs w:val="22"/>
          <w:lang w:val="en-GB"/>
        </w:rPr>
      </w:sdtEndPr>
      <w:sdtContent>
        <w:p w:rsidRPr="00A526FC" w:rsidR="00A526FC" w:rsidRDefault="00A526FC" w14:paraId="7578BE74" w14:textId="0E21E7F8">
          <w:pPr>
            <w:pStyle w:val="TOCHeading"/>
            <w:rPr>
              <w:b/>
              <w:bCs/>
              <w:color w:val="FFC000"/>
            </w:rPr>
          </w:pPr>
          <w:r w:rsidRPr="00A526FC">
            <w:rPr>
              <w:b/>
              <w:bCs/>
              <w:color w:val="FFC000"/>
            </w:rPr>
            <w:t>Contents</w:t>
          </w:r>
        </w:p>
        <w:p w:rsidR="00FC57A6" w:rsidRDefault="00FC57A6" w14:paraId="4FCF3CD8" w14:textId="77777777">
          <w:pPr>
            <w:pStyle w:val="TOC1"/>
            <w:tabs>
              <w:tab w:val="right" w:leader="dot" w:pos="9016"/>
            </w:tabs>
          </w:pPr>
        </w:p>
        <w:p w:rsidR="00D00852" w:rsidRDefault="00A526FC" w14:paraId="2B389157" w14:textId="04C8DE39">
          <w:pPr>
            <w:pStyle w:val="TOC1"/>
            <w:tabs>
              <w:tab w:val="right" w:leader="dot" w:pos="9016"/>
            </w:tabs>
            <w:rPr>
              <w:rFonts w:eastAsiaTheme="minorEastAsia"/>
              <w:noProof/>
              <w:sz w:val="24"/>
              <w:szCs w:val="24"/>
              <w:lang w:eastAsia="en-GB"/>
            </w:rPr>
          </w:pPr>
          <w:r w:rsidRPr="00FC57A6">
            <w:fldChar w:fldCharType="begin"/>
          </w:r>
          <w:r w:rsidRPr="00FC57A6">
            <w:instrText xml:space="preserve"> TOC \o "1-3" \h \z \u </w:instrText>
          </w:r>
          <w:r w:rsidRPr="00FC57A6">
            <w:fldChar w:fldCharType="separate"/>
          </w:r>
          <w:hyperlink w:history="1" w:anchor="_Toc188805623">
            <w:r w:rsidRPr="00242CFF" w:rsidR="00D00852">
              <w:rPr>
                <w:rStyle w:val="Hyperlink"/>
                <w:b/>
                <w:bCs/>
                <w:noProof/>
              </w:rPr>
              <w:t>Foreword</w:t>
            </w:r>
            <w:r w:rsidR="00D00852">
              <w:rPr>
                <w:noProof/>
                <w:webHidden/>
              </w:rPr>
              <w:tab/>
            </w:r>
            <w:r w:rsidR="00D00852">
              <w:rPr>
                <w:noProof/>
                <w:webHidden/>
              </w:rPr>
              <w:fldChar w:fldCharType="begin"/>
            </w:r>
            <w:r w:rsidR="00D00852">
              <w:rPr>
                <w:noProof/>
                <w:webHidden/>
              </w:rPr>
              <w:instrText xml:space="preserve"> PAGEREF _Toc188805623 \h </w:instrText>
            </w:r>
            <w:r w:rsidR="00D00852">
              <w:rPr>
                <w:noProof/>
                <w:webHidden/>
              </w:rPr>
            </w:r>
            <w:r w:rsidR="00D00852">
              <w:rPr>
                <w:noProof/>
                <w:webHidden/>
              </w:rPr>
              <w:fldChar w:fldCharType="separate"/>
            </w:r>
            <w:r w:rsidR="00D00852">
              <w:rPr>
                <w:noProof/>
                <w:webHidden/>
              </w:rPr>
              <w:t>3</w:t>
            </w:r>
            <w:r w:rsidR="00D00852">
              <w:rPr>
                <w:noProof/>
                <w:webHidden/>
              </w:rPr>
              <w:fldChar w:fldCharType="end"/>
            </w:r>
          </w:hyperlink>
        </w:p>
        <w:p w:rsidR="00D00852" w:rsidRDefault="00D00852" w14:paraId="342C7FA9" w14:textId="689E8CDA">
          <w:pPr>
            <w:pStyle w:val="TOC1"/>
            <w:tabs>
              <w:tab w:val="right" w:leader="dot" w:pos="9016"/>
            </w:tabs>
            <w:rPr>
              <w:rFonts w:eastAsiaTheme="minorEastAsia"/>
              <w:noProof/>
              <w:sz w:val="24"/>
              <w:szCs w:val="24"/>
              <w:lang w:eastAsia="en-GB"/>
            </w:rPr>
          </w:pPr>
          <w:hyperlink w:history="1" w:anchor="_Toc188805624">
            <w:r w:rsidRPr="00242CFF">
              <w:rPr>
                <w:rStyle w:val="Hyperlink"/>
                <w:b/>
                <w:bCs/>
                <w:noProof/>
              </w:rPr>
              <w:t>Overview  - Reporting Gender Pay Gaps</w:t>
            </w:r>
            <w:r>
              <w:rPr>
                <w:noProof/>
                <w:webHidden/>
              </w:rPr>
              <w:tab/>
            </w:r>
            <w:r>
              <w:rPr>
                <w:noProof/>
                <w:webHidden/>
              </w:rPr>
              <w:fldChar w:fldCharType="begin"/>
            </w:r>
            <w:r>
              <w:rPr>
                <w:noProof/>
                <w:webHidden/>
              </w:rPr>
              <w:instrText xml:space="preserve"> PAGEREF _Toc188805624 \h </w:instrText>
            </w:r>
            <w:r>
              <w:rPr>
                <w:noProof/>
                <w:webHidden/>
              </w:rPr>
            </w:r>
            <w:r>
              <w:rPr>
                <w:noProof/>
                <w:webHidden/>
              </w:rPr>
              <w:fldChar w:fldCharType="separate"/>
            </w:r>
            <w:r>
              <w:rPr>
                <w:noProof/>
                <w:webHidden/>
              </w:rPr>
              <w:t>4</w:t>
            </w:r>
            <w:r>
              <w:rPr>
                <w:noProof/>
                <w:webHidden/>
              </w:rPr>
              <w:fldChar w:fldCharType="end"/>
            </w:r>
          </w:hyperlink>
        </w:p>
        <w:p w:rsidR="00D00852" w:rsidRDefault="00D00852" w14:paraId="2A2A540E" w14:textId="5F09C14B">
          <w:pPr>
            <w:pStyle w:val="TOC1"/>
            <w:tabs>
              <w:tab w:val="right" w:leader="dot" w:pos="9016"/>
            </w:tabs>
            <w:rPr>
              <w:rFonts w:eastAsiaTheme="minorEastAsia"/>
              <w:noProof/>
              <w:sz w:val="24"/>
              <w:szCs w:val="24"/>
              <w:lang w:eastAsia="en-GB"/>
            </w:rPr>
          </w:pPr>
          <w:hyperlink w:history="1" w:anchor="_Toc188805625">
            <w:r w:rsidRPr="00242CFF">
              <w:rPr>
                <w:rStyle w:val="Hyperlink"/>
                <w:b/>
                <w:bCs/>
                <w:noProof/>
              </w:rPr>
              <w:t>Our UK Gender Pay Data</w:t>
            </w:r>
            <w:r>
              <w:rPr>
                <w:noProof/>
                <w:webHidden/>
              </w:rPr>
              <w:tab/>
            </w:r>
            <w:r>
              <w:rPr>
                <w:noProof/>
                <w:webHidden/>
              </w:rPr>
              <w:fldChar w:fldCharType="begin"/>
            </w:r>
            <w:r>
              <w:rPr>
                <w:noProof/>
                <w:webHidden/>
              </w:rPr>
              <w:instrText xml:space="preserve"> PAGEREF _Toc188805625 \h </w:instrText>
            </w:r>
            <w:r>
              <w:rPr>
                <w:noProof/>
                <w:webHidden/>
              </w:rPr>
            </w:r>
            <w:r>
              <w:rPr>
                <w:noProof/>
                <w:webHidden/>
              </w:rPr>
              <w:fldChar w:fldCharType="separate"/>
            </w:r>
            <w:r>
              <w:rPr>
                <w:noProof/>
                <w:webHidden/>
              </w:rPr>
              <w:t>5</w:t>
            </w:r>
            <w:r>
              <w:rPr>
                <w:noProof/>
                <w:webHidden/>
              </w:rPr>
              <w:fldChar w:fldCharType="end"/>
            </w:r>
          </w:hyperlink>
        </w:p>
        <w:p w:rsidR="00D00852" w:rsidRDefault="00D00852" w14:paraId="34E778E0" w14:textId="0734DFD4">
          <w:pPr>
            <w:pStyle w:val="TOC1"/>
            <w:tabs>
              <w:tab w:val="right" w:leader="dot" w:pos="9016"/>
            </w:tabs>
            <w:rPr>
              <w:rFonts w:eastAsiaTheme="minorEastAsia"/>
              <w:noProof/>
              <w:sz w:val="24"/>
              <w:szCs w:val="24"/>
              <w:lang w:eastAsia="en-GB"/>
            </w:rPr>
          </w:pPr>
          <w:hyperlink w:history="1" w:anchor="_Toc188805626">
            <w:r w:rsidRPr="00242CFF">
              <w:rPr>
                <w:rStyle w:val="Hyperlink"/>
                <w:b/>
                <w:bCs/>
                <w:noProof/>
              </w:rPr>
              <w:t>Maintaining Our Gender Pay Differences</w:t>
            </w:r>
            <w:r>
              <w:rPr>
                <w:noProof/>
                <w:webHidden/>
              </w:rPr>
              <w:tab/>
            </w:r>
            <w:r>
              <w:rPr>
                <w:noProof/>
                <w:webHidden/>
              </w:rPr>
              <w:fldChar w:fldCharType="begin"/>
            </w:r>
            <w:r>
              <w:rPr>
                <w:noProof/>
                <w:webHidden/>
              </w:rPr>
              <w:instrText xml:space="preserve"> PAGEREF _Toc188805626 \h </w:instrText>
            </w:r>
            <w:r>
              <w:rPr>
                <w:noProof/>
                <w:webHidden/>
              </w:rPr>
            </w:r>
            <w:r>
              <w:rPr>
                <w:noProof/>
                <w:webHidden/>
              </w:rPr>
              <w:fldChar w:fldCharType="separate"/>
            </w:r>
            <w:r>
              <w:rPr>
                <w:noProof/>
                <w:webHidden/>
              </w:rPr>
              <w:t>7</w:t>
            </w:r>
            <w:r>
              <w:rPr>
                <w:noProof/>
                <w:webHidden/>
              </w:rPr>
              <w:fldChar w:fldCharType="end"/>
            </w:r>
          </w:hyperlink>
        </w:p>
        <w:p w:rsidRPr="00FC57A6" w:rsidR="00A526FC" w:rsidRDefault="00A526FC" w14:paraId="342F63B3" w14:textId="2F14F069">
          <w:r w:rsidRPr="00FC57A6">
            <w:rPr>
              <w:noProof/>
            </w:rPr>
            <w:fldChar w:fldCharType="end"/>
          </w:r>
        </w:p>
      </w:sdtContent>
    </w:sdt>
    <w:p w:rsidR="00A526FC" w:rsidP="00A526FC" w:rsidRDefault="00A526FC" w14:paraId="70A440A3" w14:textId="77777777">
      <w:pPr>
        <w:pStyle w:val="NoSpacing"/>
      </w:pPr>
    </w:p>
    <w:p w:rsidR="00A526FC" w:rsidP="00A526FC" w:rsidRDefault="00A526FC" w14:paraId="6E8EE37C" w14:textId="77777777">
      <w:pPr>
        <w:pStyle w:val="NoSpacing"/>
      </w:pPr>
    </w:p>
    <w:p w:rsidR="00A526FC" w:rsidP="00A526FC" w:rsidRDefault="00A526FC" w14:paraId="4C4CDDD4" w14:textId="77777777">
      <w:pPr>
        <w:pStyle w:val="NoSpacing"/>
      </w:pPr>
    </w:p>
    <w:p w:rsidR="00A526FC" w:rsidP="00A526FC" w:rsidRDefault="00A526FC" w14:paraId="232E9BAF" w14:textId="77777777">
      <w:pPr>
        <w:pStyle w:val="NoSpacing"/>
      </w:pPr>
    </w:p>
    <w:p w:rsidR="00A526FC" w:rsidP="00A526FC" w:rsidRDefault="00A526FC" w14:paraId="6D5345CA" w14:textId="77777777">
      <w:pPr>
        <w:pStyle w:val="NoSpacing"/>
      </w:pPr>
    </w:p>
    <w:p w:rsidR="00A526FC" w:rsidP="00A526FC" w:rsidRDefault="00A526FC" w14:paraId="2CB4408F" w14:textId="77777777">
      <w:pPr>
        <w:pStyle w:val="NoSpacing"/>
      </w:pPr>
    </w:p>
    <w:p w:rsidR="00A526FC" w:rsidP="00A526FC" w:rsidRDefault="00A526FC" w14:paraId="75D5F141" w14:textId="77777777">
      <w:pPr>
        <w:pStyle w:val="NoSpacing"/>
      </w:pPr>
    </w:p>
    <w:p w:rsidR="00A526FC" w:rsidP="00A526FC" w:rsidRDefault="00A526FC" w14:paraId="1A86588A" w14:textId="77777777">
      <w:pPr>
        <w:pStyle w:val="NoSpacing"/>
      </w:pPr>
    </w:p>
    <w:p w:rsidR="00A526FC" w:rsidP="00A526FC" w:rsidRDefault="00A526FC" w14:paraId="15E99E2A" w14:textId="77777777">
      <w:pPr>
        <w:pStyle w:val="NoSpacing"/>
      </w:pPr>
    </w:p>
    <w:p w:rsidR="00A526FC" w:rsidP="00A526FC" w:rsidRDefault="00A526FC" w14:paraId="54EA1A0B" w14:textId="77777777">
      <w:pPr>
        <w:pStyle w:val="NoSpacing"/>
      </w:pPr>
    </w:p>
    <w:p w:rsidR="00A526FC" w:rsidP="00A526FC" w:rsidRDefault="00A526FC" w14:paraId="7DF508C8" w14:textId="77777777">
      <w:pPr>
        <w:pStyle w:val="NoSpacing"/>
      </w:pPr>
    </w:p>
    <w:p w:rsidR="00A526FC" w:rsidP="00A526FC" w:rsidRDefault="00A526FC" w14:paraId="1CE2A0BF" w14:textId="77777777">
      <w:pPr>
        <w:pStyle w:val="NoSpacing"/>
      </w:pPr>
    </w:p>
    <w:p w:rsidR="00A526FC" w:rsidP="00A526FC" w:rsidRDefault="00A526FC" w14:paraId="7AAB6B99" w14:textId="77777777">
      <w:pPr>
        <w:pStyle w:val="NoSpacing"/>
      </w:pPr>
    </w:p>
    <w:p w:rsidR="00A526FC" w:rsidP="00A526FC" w:rsidRDefault="00A526FC" w14:paraId="005AE86E" w14:textId="77777777">
      <w:pPr>
        <w:pStyle w:val="NoSpacing"/>
      </w:pPr>
    </w:p>
    <w:p w:rsidR="00A526FC" w:rsidP="00A526FC" w:rsidRDefault="00A526FC" w14:paraId="43269A38" w14:textId="77777777">
      <w:pPr>
        <w:pStyle w:val="NoSpacing"/>
      </w:pPr>
    </w:p>
    <w:p w:rsidR="00A526FC" w:rsidP="00A526FC" w:rsidRDefault="00A526FC" w14:paraId="37E0AE2B" w14:textId="77777777">
      <w:pPr>
        <w:pStyle w:val="NoSpacing"/>
      </w:pPr>
    </w:p>
    <w:p w:rsidR="00A526FC" w:rsidP="00A526FC" w:rsidRDefault="00A526FC" w14:paraId="611B7249" w14:textId="77777777">
      <w:pPr>
        <w:pStyle w:val="NoSpacing"/>
      </w:pPr>
    </w:p>
    <w:p w:rsidR="00A526FC" w:rsidP="00A526FC" w:rsidRDefault="00A526FC" w14:paraId="0E23348D" w14:textId="77777777">
      <w:pPr>
        <w:pStyle w:val="NoSpacing"/>
      </w:pPr>
    </w:p>
    <w:p w:rsidR="00A526FC" w:rsidP="00A526FC" w:rsidRDefault="00A526FC" w14:paraId="5CEC13FA" w14:textId="77777777">
      <w:pPr>
        <w:pStyle w:val="NoSpacing"/>
      </w:pPr>
    </w:p>
    <w:p w:rsidR="00A526FC" w:rsidP="00A526FC" w:rsidRDefault="00A526FC" w14:paraId="62920A56" w14:textId="77777777">
      <w:pPr>
        <w:pStyle w:val="NoSpacing"/>
      </w:pPr>
    </w:p>
    <w:p w:rsidR="00A526FC" w:rsidP="00A526FC" w:rsidRDefault="00A526FC" w14:paraId="76ECFBF6" w14:textId="77777777">
      <w:pPr>
        <w:pStyle w:val="NoSpacing"/>
      </w:pPr>
    </w:p>
    <w:p w:rsidR="00A526FC" w:rsidP="00A526FC" w:rsidRDefault="00A526FC" w14:paraId="7EA480D1" w14:textId="77777777">
      <w:pPr>
        <w:pStyle w:val="NoSpacing"/>
      </w:pPr>
    </w:p>
    <w:p w:rsidR="00A526FC" w:rsidP="00A526FC" w:rsidRDefault="00A526FC" w14:paraId="6D87AA2F" w14:textId="77777777">
      <w:pPr>
        <w:pStyle w:val="NoSpacing"/>
      </w:pPr>
    </w:p>
    <w:p w:rsidR="00A526FC" w:rsidP="00A526FC" w:rsidRDefault="00A526FC" w14:paraId="67E59BAD" w14:textId="77777777">
      <w:pPr>
        <w:pStyle w:val="NoSpacing"/>
      </w:pPr>
    </w:p>
    <w:p w:rsidR="00A526FC" w:rsidP="00A526FC" w:rsidRDefault="00A526FC" w14:paraId="767EE549" w14:textId="77777777">
      <w:pPr>
        <w:pStyle w:val="NoSpacing"/>
      </w:pPr>
    </w:p>
    <w:p w:rsidR="00A526FC" w:rsidP="00A526FC" w:rsidRDefault="00A526FC" w14:paraId="13C04CDF" w14:textId="77777777">
      <w:pPr>
        <w:pStyle w:val="NoSpacing"/>
      </w:pPr>
    </w:p>
    <w:p w:rsidR="00A526FC" w:rsidP="00A526FC" w:rsidRDefault="00A526FC" w14:paraId="02E1CE46" w14:textId="77777777">
      <w:pPr>
        <w:pStyle w:val="NoSpacing"/>
      </w:pPr>
    </w:p>
    <w:p w:rsidR="00A526FC" w:rsidP="00A526FC" w:rsidRDefault="00A526FC" w14:paraId="0E3F4268" w14:textId="77777777">
      <w:pPr>
        <w:pStyle w:val="NoSpacing"/>
      </w:pPr>
    </w:p>
    <w:p w:rsidR="00A526FC" w:rsidP="00A526FC" w:rsidRDefault="00A526FC" w14:paraId="4A4FD8DC" w14:textId="77777777">
      <w:pPr>
        <w:pStyle w:val="NoSpacing"/>
      </w:pPr>
    </w:p>
    <w:p w:rsidR="00A526FC" w:rsidP="00A526FC" w:rsidRDefault="00A526FC" w14:paraId="5C0AAEB3" w14:textId="77777777">
      <w:pPr>
        <w:pStyle w:val="NoSpacing"/>
      </w:pPr>
    </w:p>
    <w:p w:rsidR="00A526FC" w:rsidP="00A526FC" w:rsidRDefault="00A526FC" w14:paraId="5476D624" w14:textId="77777777">
      <w:pPr>
        <w:pStyle w:val="NoSpacing"/>
      </w:pPr>
    </w:p>
    <w:p w:rsidR="00A526FC" w:rsidP="00A526FC" w:rsidRDefault="00A526FC" w14:paraId="5C4B00CF" w14:textId="77777777">
      <w:pPr>
        <w:pStyle w:val="NoSpacing"/>
      </w:pPr>
    </w:p>
    <w:p w:rsidR="00A526FC" w:rsidP="00A526FC" w:rsidRDefault="00A526FC" w14:paraId="5762219C" w14:textId="77777777">
      <w:pPr>
        <w:pStyle w:val="NoSpacing"/>
      </w:pPr>
    </w:p>
    <w:p w:rsidR="00A526FC" w:rsidP="00A526FC" w:rsidRDefault="00A526FC" w14:paraId="049C3649" w14:textId="77777777">
      <w:pPr>
        <w:pStyle w:val="NoSpacing"/>
      </w:pPr>
    </w:p>
    <w:p w:rsidR="00A526FC" w:rsidP="00A526FC" w:rsidRDefault="00A526FC" w14:paraId="2F7A3C97" w14:textId="77777777">
      <w:pPr>
        <w:pStyle w:val="NoSpacing"/>
      </w:pPr>
    </w:p>
    <w:p w:rsidR="00A526FC" w:rsidP="00A526FC" w:rsidRDefault="00A526FC" w14:paraId="008F18D4" w14:textId="77777777">
      <w:pPr>
        <w:pStyle w:val="NoSpacing"/>
      </w:pPr>
    </w:p>
    <w:p w:rsidRPr="00A526FC" w:rsidR="00A526FC" w:rsidP="00A526FC" w:rsidRDefault="00A526FC" w14:paraId="3CF1FCCB" w14:textId="2E84A7D2">
      <w:pPr>
        <w:pStyle w:val="Heading1"/>
        <w:rPr>
          <w:b/>
          <w:bCs/>
          <w:color w:val="FFC000"/>
        </w:rPr>
      </w:pPr>
      <w:bookmarkStart w:name="_Toc188805623" w:id="0"/>
      <w:r w:rsidRPr="00A526FC">
        <w:rPr>
          <w:b/>
          <w:bCs/>
          <w:color w:val="FFC000"/>
        </w:rPr>
        <w:lastRenderedPageBreak/>
        <w:t>Foreword</w:t>
      </w:r>
      <w:bookmarkEnd w:id="0"/>
    </w:p>
    <w:p w:rsidR="00A526FC" w:rsidP="00A526FC" w:rsidRDefault="00A526FC" w14:paraId="6CB0F2C7" w14:textId="77777777">
      <w:pPr>
        <w:pStyle w:val="NoSpacing"/>
      </w:pPr>
    </w:p>
    <w:p w:rsidRPr="00A526FC" w:rsidR="00A526FC" w:rsidP="00A526FC" w:rsidRDefault="00A526FC" w14:paraId="271BED6B" w14:textId="154E38FA">
      <w:pPr>
        <w:pStyle w:val="NoSpacing"/>
        <w:rPr>
          <w:i/>
          <w:iCs/>
          <w:color w:val="FFC000"/>
          <w:sz w:val="32"/>
          <w:szCs w:val="32"/>
        </w:rPr>
      </w:pPr>
      <w:r w:rsidRPr="00A526FC">
        <w:rPr>
          <w:i/>
          <w:iCs/>
          <w:color w:val="FFC000"/>
          <w:sz w:val="32"/>
          <w:szCs w:val="32"/>
        </w:rPr>
        <w:t>Reflections from Nikki Harding, Head of HR</w:t>
      </w:r>
    </w:p>
    <w:p w:rsidR="00A526FC" w:rsidP="00A526FC" w:rsidRDefault="00A526FC" w14:paraId="629FB7BB" w14:textId="77777777">
      <w:pPr>
        <w:pStyle w:val="NoSpacing"/>
      </w:pPr>
    </w:p>
    <w:p w:rsidR="005C65DC" w:rsidP="00926BDB" w:rsidRDefault="005C65DC" w14:paraId="1D41B385" w14:textId="0DEDFCBE">
      <w:pPr>
        <w:pStyle w:val="BodyText"/>
        <w:spacing w:line="261" w:lineRule="auto"/>
        <w:ind w:right="-48"/>
        <w:jc w:val="both"/>
        <w:rPr>
          <w:rFonts w:asciiTheme="minorHAnsi" w:hAnsiTheme="minorHAnsi" w:eastAsiaTheme="minorHAnsi" w:cstheme="minorBidi"/>
        </w:rPr>
      </w:pPr>
      <w:r>
        <w:rPr>
          <w:rFonts w:asciiTheme="minorHAnsi" w:hAnsiTheme="minorHAnsi" w:eastAsiaTheme="minorHAnsi" w:cstheme="minorBidi"/>
          <w:kern w:val="2"/>
          <w:lang w:eastAsia="en-US" w:bidi="ar-SA"/>
          <w14:ligatures w14:val="standardContextual"/>
        </w:rPr>
        <w:t xml:space="preserve">Birmingham Children’s </w:t>
      </w:r>
      <w:r w:rsidRPr="0023029D" w:rsidR="00315740">
        <w:rPr>
          <w:rFonts w:asciiTheme="minorHAnsi" w:hAnsiTheme="minorHAnsi" w:eastAsiaTheme="minorHAnsi" w:cstheme="minorBidi"/>
          <w:kern w:val="2"/>
          <w:lang w:eastAsia="en-US" w:bidi="ar-SA"/>
          <w14:ligatures w14:val="standardContextual"/>
        </w:rPr>
        <w:t>Trust recognises and values the contribution our staff make</w:t>
      </w:r>
      <w:r w:rsidRPr="0023029D" w:rsidR="00275DD9">
        <w:rPr>
          <w:rFonts w:asciiTheme="minorHAnsi" w:hAnsiTheme="minorHAnsi" w:eastAsiaTheme="minorHAnsi" w:cstheme="minorBidi"/>
          <w:kern w:val="2"/>
          <w:lang w:eastAsia="en-US" w:bidi="ar-SA"/>
          <w14:ligatures w14:val="standardContextual"/>
        </w:rPr>
        <w:t>,</w:t>
      </w:r>
      <w:r w:rsidRPr="0023029D" w:rsidR="00D805D4">
        <w:rPr>
          <w:rFonts w:asciiTheme="minorHAnsi" w:hAnsiTheme="minorHAnsi" w:eastAsiaTheme="minorHAnsi" w:cstheme="minorBidi"/>
          <w:kern w:val="2"/>
          <w:lang w:eastAsia="en-US" w:bidi="ar-SA"/>
          <w14:ligatures w14:val="standardContextual"/>
        </w:rPr>
        <w:t xml:space="preserve"> we want </w:t>
      </w:r>
      <w:r w:rsidRPr="0023029D" w:rsidR="00F80647">
        <w:rPr>
          <w:rFonts w:asciiTheme="minorHAnsi" w:hAnsiTheme="minorHAnsi" w:eastAsiaTheme="minorHAnsi" w:cstheme="minorBidi"/>
          <w:kern w:val="2"/>
          <w:lang w:eastAsia="en-US" w:bidi="ar-SA"/>
          <w14:ligatures w14:val="standardContextual"/>
        </w:rPr>
        <w:t xml:space="preserve">to </w:t>
      </w:r>
      <w:r w:rsidRPr="0023029D" w:rsidR="00D805D4">
        <w:rPr>
          <w:rFonts w:asciiTheme="minorHAnsi" w:hAnsiTheme="minorHAnsi" w:eastAsiaTheme="minorHAnsi" w:cstheme="minorBidi"/>
          <w:kern w:val="2"/>
          <w:lang w:eastAsia="en-US" w:bidi="ar-SA"/>
          <w14:ligatures w14:val="standardContextual"/>
        </w:rPr>
        <w:t xml:space="preserve">be recognised as an attractive employer of choice and a great place to work where we celebrate our diverse and vibrant community. </w:t>
      </w:r>
      <w:r w:rsidRPr="0023029D" w:rsidR="0023029D">
        <w:rPr>
          <w:rFonts w:asciiTheme="minorHAnsi" w:hAnsiTheme="minorHAnsi" w:eastAsiaTheme="minorHAnsi" w:cstheme="minorBidi"/>
          <w:kern w:val="2"/>
          <w:lang w:eastAsia="en-US" w:bidi="ar-SA"/>
          <w14:ligatures w14:val="standardContextual"/>
        </w:rPr>
        <w:t xml:space="preserve"> </w:t>
      </w:r>
      <w:r w:rsidR="00926BDB">
        <w:rPr>
          <w:rFonts w:asciiTheme="minorHAnsi" w:hAnsiTheme="minorHAnsi" w:eastAsiaTheme="minorHAnsi" w:cstheme="minorBidi"/>
          <w:kern w:val="2"/>
          <w:lang w:eastAsia="en-US" w:bidi="ar-SA"/>
          <w14:ligatures w14:val="standardContextual"/>
        </w:rPr>
        <w:t xml:space="preserve">It is important </w:t>
      </w:r>
      <w:r w:rsidRPr="008E4EF5" w:rsidR="008E4EF5">
        <w:rPr>
          <w:rFonts w:asciiTheme="minorHAnsi" w:hAnsiTheme="minorHAnsi" w:eastAsiaTheme="minorHAnsi" w:cstheme="minorBidi"/>
        </w:rPr>
        <w:t xml:space="preserve">that our workforce is representative of the </w:t>
      </w:r>
      <w:r w:rsidR="00926BDB">
        <w:rPr>
          <w:rFonts w:asciiTheme="minorHAnsi" w:hAnsiTheme="minorHAnsi" w:eastAsiaTheme="minorHAnsi" w:cstheme="minorBidi"/>
        </w:rPr>
        <w:t>communities</w:t>
      </w:r>
      <w:r w:rsidRPr="008E4EF5" w:rsidR="008E4EF5">
        <w:rPr>
          <w:rFonts w:asciiTheme="minorHAnsi" w:hAnsiTheme="minorHAnsi" w:eastAsiaTheme="minorHAnsi" w:cstheme="minorBidi"/>
        </w:rPr>
        <w:t xml:space="preserve"> we serve</w:t>
      </w:r>
      <w:r>
        <w:rPr>
          <w:rFonts w:asciiTheme="minorHAnsi" w:hAnsiTheme="minorHAnsi" w:eastAsiaTheme="minorHAnsi" w:cstheme="minorBidi"/>
        </w:rPr>
        <w:t xml:space="preserve"> and that we continue to c</w:t>
      </w:r>
      <w:r w:rsidRPr="008E4EF5" w:rsidR="008E4EF5">
        <w:rPr>
          <w:rFonts w:asciiTheme="minorHAnsi" w:hAnsiTheme="minorHAnsi" w:eastAsiaTheme="minorHAnsi" w:cstheme="minorBidi"/>
        </w:rPr>
        <w:t>reat</w:t>
      </w:r>
      <w:r>
        <w:rPr>
          <w:rFonts w:asciiTheme="minorHAnsi" w:hAnsiTheme="minorHAnsi" w:eastAsiaTheme="minorHAnsi" w:cstheme="minorBidi"/>
        </w:rPr>
        <w:t>e</w:t>
      </w:r>
      <w:r w:rsidRPr="008E4EF5" w:rsidR="008E4EF5">
        <w:rPr>
          <w:rFonts w:asciiTheme="minorHAnsi" w:hAnsiTheme="minorHAnsi" w:eastAsiaTheme="minorHAnsi" w:cstheme="minorBidi"/>
        </w:rPr>
        <w:t xml:space="preserve"> an environment where everyone can </w:t>
      </w:r>
      <w:r>
        <w:rPr>
          <w:rFonts w:asciiTheme="minorHAnsi" w:hAnsiTheme="minorHAnsi" w:eastAsiaTheme="minorHAnsi" w:cstheme="minorBidi"/>
        </w:rPr>
        <w:t xml:space="preserve">achieve their best </w:t>
      </w:r>
      <w:r w:rsidRPr="008E4EF5" w:rsidR="008E4EF5">
        <w:rPr>
          <w:rFonts w:asciiTheme="minorHAnsi" w:hAnsiTheme="minorHAnsi" w:eastAsiaTheme="minorHAnsi" w:cstheme="minorBidi"/>
        </w:rPr>
        <w:t xml:space="preserve">for the </w:t>
      </w:r>
      <w:r w:rsidR="00367850">
        <w:rPr>
          <w:rFonts w:asciiTheme="minorHAnsi" w:hAnsiTheme="minorHAnsi" w:eastAsiaTheme="minorHAnsi" w:cstheme="minorBidi"/>
        </w:rPr>
        <w:t>c</w:t>
      </w:r>
      <w:r w:rsidRPr="008E4EF5" w:rsidR="008E4EF5">
        <w:rPr>
          <w:rFonts w:asciiTheme="minorHAnsi" w:hAnsiTheme="minorHAnsi" w:eastAsiaTheme="minorHAnsi" w:cstheme="minorBidi"/>
        </w:rPr>
        <w:t xml:space="preserve">hildren, </w:t>
      </w:r>
      <w:r w:rsidR="00367850">
        <w:rPr>
          <w:rFonts w:asciiTheme="minorHAnsi" w:hAnsiTheme="minorHAnsi" w:eastAsiaTheme="minorHAnsi" w:cstheme="minorBidi"/>
        </w:rPr>
        <w:t>y</w:t>
      </w:r>
      <w:r w:rsidRPr="008E4EF5" w:rsidR="008E4EF5">
        <w:rPr>
          <w:rFonts w:asciiTheme="minorHAnsi" w:hAnsiTheme="minorHAnsi" w:eastAsiaTheme="minorHAnsi" w:cstheme="minorBidi"/>
        </w:rPr>
        <w:t xml:space="preserve">oung </w:t>
      </w:r>
      <w:r w:rsidR="00367850">
        <w:rPr>
          <w:rFonts w:asciiTheme="minorHAnsi" w:hAnsiTheme="minorHAnsi" w:eastAsiaTheme="minorHAnsi" w:cstheme="minorBidi"/>
        </w:rPr>
        <w:t>p</w:t>
      </w:r>
      <w:r w:rsidRPr="008E4EF5" w:rsidR="008E4EF5">
        <w:rPr>
          <w:rFonts w:asciiTheme="minorHAnsi" w:hAnsiTheme="minorHAnsi" w:eastAsiaTheme="minorHAnsi" w:cstheme="minorBidi"/>
        </w:rPr>
        <w:t xml:space="preserve">eople and families </w:t>
      </w:r>
      <w:r>
        <w:rPr>
          <w:rFonts w:asciiTheme="minorHAnsi" w:hAnsiTheme="minorHAnsi" w:eastAsiaTheme="minorHAnsi" w:cstheme="minorBidi"/>
        </w:rPr>
        <w:t>within</w:t>
      </w:r>
      <w:r w:rsidRPr="008E4EF5" w:rsidR="008E4EF5">
        <w:rPr>
          <w:rFonts w:asciiTheme="minorHAnsi" w:hAnsiTheme="minorHAnsi" w:eastAsiaTheme="minorHAnsi" w:cstheme="minorBidi"/>
        </w:rPr>
        <w:t xml:space="preserve"> Birmingham.  </w:t>
      </w:r>
    </w:p>
    <w:p w:rsidR="00367850" w:rsidP="0023029D" w:rsidRDefault="00367850" w14:paraId="21F9CAB7" w14:textId="77777777">
      <w:pPr>
        <w:pStyle w:val="BodyText"/>
        <w:spacing w:line="261" w:lineRule="auto"/>
        <w:ind w:right="-48"/>
        <w:jc w:val="both"/>
        <w:rPr>
          <w:rFonts w:asciiTheme="minorHAnsi" w:hAnsiTheme="minorHAnsi" w:eastAsiaTheme="minorHAnsi" w:cstheme="minorBidi"/>
        </w:rPr>
      </w:pPr>
    </w:p>
    <w:p w:rsidRPr="00EC15FC" w:rsidR="00A526FC" w:rsidP="2CF7F6CC" w:rsidRDefault="009B7365" w14:paraId="45228239" w14:textId="3E75207F">
      <w:pPr>
        <w:pStyle w:val="BodyText"/>
        <w:spacing w:line="261" w:lineRule="auto"/>
        <w:ind w:right="-48"/>
        <w:jc w:val="both"/>
        <w:rPr>
          <w:rFonts w:ascii="Calibri" w:hAnsi="Calibri" w:eastAsia="Calibri" w:cs="" w:asciiTheme="minorAscii" w:hAnsiTheme="minorAscii" w:eastAsiaTheme="minorAscii" w:cstheme="minorBidi"/>
          <w:b w:val="1"/>
          <w:bCs w:val="1"/>
          <w:kern w:val="2"/>
          <w:lang w:eastAsia="en-US" w:bidi="ar-SA"/>
          <w14:ligatures w14:val="standardContextual"/>
        </w:rPr>
      </w:pPr>
      <w:r w:rsidRPr="2CF7F6CC" w:rsidR="009B7365">
        <w:rPr>
          <w:rFonts w:ascii="Calibri" w:hAnsi="Calibri" w:eastAsia="Calibri" w:cs="" w:asciiTheme="minorAscii" w:hAnsiTheme="minorAscii" w:eastAsiaTheme="minorAscii" w:cstheme="minorBidi"/>
          <w:kern w:val="2"/>
          <w:lang w:eastAsia="en-US" w:bidi="ar-SA"/>
          <w14:ligatures w14:val="standardContextual"/>
        </w:rPr>
        <w:t>We take seriously our responsibility to lead by example</w:t>
      </w:r>
      <w:r w:rsidRPr="2CF7F6CC" w:rsidR="00EC15FC">
        <w:rPr>
          <w:rFonts w:ascii="Calibri" w:hAnsi="Calibri" w:eastAsia="Calibri" w:cs="" w:asciiTheme="minorAscii" w:hAnsiTheme="minorAscii" w:eastAsiaTheme="minorAscii" w:cstheme="minorBidi"/>
          <w:kern w:val="2"/>
          <w:lang w:eastAsia="en-US" w:bidi="ar-SA"/>
          <w14:ligatures w14:val="standardContextual"/>
        </w:rPr>
        <w:t>, o</w:t>
      </w:r>
      <w:r w:rsidRPr="2CF7F6CC" w:rsidR="009B7365">
        <w:rPr>
          <w:rFonts w:ascii="Calibri" w:hAnsi="Calibri" w:eastAsia="Calibri" w:cs="" w:asciiTheme="minorAscii" w:hAnsiTheme="minorAscii" w:eastAsiaTheme="minorAscii" w:cstheme="minorBidi"/>
          <w:kern w:val="2"/>
          <w:lang w:eastAsia="en-US" w:bidi="ar-SA"/>
          <w14:ligatures w14:val="standardContextual"/>
        </w:rPr>
        <w:t>ne of the ways we do this is by reporting our gender pay gap data.</w:t>
      </w:r>
      <w:r w:rsidRPr="2CF7F6CC" w:rsidR="00EC15FC">
        <w:rPr>
          <w:rFonts w:ascii="Calibri" w:hAnsi="Calibri" w:eastAsia="Calibri" w:cs="" w:asciiTheme="minorAscii" w:hAnsiTheme="minorAscii" w:eastAsiaTheme="minorAscii" w:cstheme="minorBidi"/>
          <w:kern w:val="2"/>
          <w:lang w:eastAsia="en-US" w:bidi="ar-SA"/>
          <w14:ligatures w14:val="standardContextual"/>
        </w:rPr>
        <w:t xml:space="preserve"> </w:t>
      </w:r>
      <w:r w:rsidRPr="2CF7F6CC" w:rsidR="00A526FC">
        <w:rPr>
          <w:rFonts w:ascii="Calibri" w:hAnsi="Calibri" w:eastAsia="Calibri" w:cs="" w:asciiTheme="minorAscii" w:hAnsiTheme="minorAscii" w:eastAsiaTheme="minorAscii" w:cstheme="minorBidi"/>
          <w:kern w:val="2"/>
          <w:lang w:eastAsia="en-US" w:bidi="ar-SA"/>
          <w14:ligatures w14:val="standardContextual"/>
        </w:rPr>
        <w:t xml:space="preserve">Gender </w:t>
      </w:r>
      <w:r w:rsidRPr="2CF7F6CC" w:rsidR="00900E43">
        <w:rPr>
          <w:rFonts w:ascii="Calibri" w:hAnsi="Calibri" w:eastAsia="Calibri" w:cs="" w:asciiTheme="minorAscii" w:hAnsiTheme="minorAscii" w:eastAsiaTheme="minorAscii" w:cstheme="minorBidi"/>
          <w:kern w:val="2"/>
          <w:lang w:eastAsia="en-US" w:bidi="ar-SA"/>
          <w14:ligatures w14:val="standardContextual"/>
        </w:rPr>
        <w:t>P</w:t>
      </w:r>
      <w:r w:rsidRPr="2CF7F6CC" w:rsidR="00A526FC">
        <w:rPr>
          <w:rFonts w:ascii="Calibri" w:hAnsi="Calibri" w:eastAsia="Calibri" w:cs="" w:asciiTheme="minorAscii" w:hAnsiTheme="minorAscii" w:eastAsiaTheme="minorAscii" w:cstheme="minorBidi"/>
          <w:kern w:val="2"/>
          <w:lang w:eastAsia="en-US" w:bidi="ar-SA"/>
          <w14:ligatures w14:val="standardContextual"/>
        </w:rPr>
        <w:t xml:space="preserve">ay </w:t>
      </w:r>
      <w:r w:rsidRPr="2CF7F6CC" w:rsidR="00EC15FC">
        <w:rPr>
          <w:rFonts w:ascii="Calibri" w:hAnsi="Calibri" w:eastAsia="Calibri" w:cs="" w:asciiTheme="minorAscii" w:hAnsiTheme="minorAscii" w:eastAsiaTheme="minorAscii" w:cstheme="minorBidi"/>
          <w:kern w:val="2"/>
          <w:lang w:eastAsia="en-US" w:bidi="ar-SA"/>
          <w14:ligatures w14:val="standardContextual"/>
        </w:rPr>
        <w:t>G</w:t>
      </w:r>
      <w:r w:rsidRPr="2CF7F6CC" w:rsidR="00A526FC">
        <w:rPr>
          <w:rFonts w:ascii="Calibri" w:hAnsi="Calibri" w:eastAsia="Calibri" w:cs="" w:asciiTheme="minorAscii" w:hAnsiTheme="minorAscii" w:eastAsiaTheme="minorAscii" w:cstheme="minorBidi"/>
          <w:kern w:val="2"/>
          <w:lang w:eastAsia="en-US" w:bidi="ar-SA"/>
          <w14:ligatures w14:val="standardContextual"/>
        </w:rPr>
        <w:t xml:space="preserve">ap reporting in the UK is now in its </w:t>
      </w:r>
      <w:r w:rsidRPr="2CF7F6CC" w:rsidR="6EC5A022">
        <w:rPr>
          <w:rFonts w:ascii="Calibri" w:hAnsi="Calibri" w:eastAsia="Calibri" w:cs="" w:asciiTheme="minorAscii" w:hAnsiTheme="minorAscii" w:eastAsiaTheme="minorAscii" w:cstheme="minorBidi"/>
          <w:kern w:val="2"/>
          <w:lang w:eastAsia="en-US" w:bidi="ar-SA"/>
          <w14:ligatures w14:val="standardContextual"/>
        </w:rPr>
        <w:t>eighth</w:t>
      </w:r>
      <w:r w:rsidRPr="2CF7F6CC" w:rsidR="00A526FC">
        <w:rPr>
          <w:rFonts w:ascii="Calibri" w:hAnsi="Calibri" w:eastAsia="Calibri" w:cs="" w:asciiTheme="minorAscii" w:hAnsiTheme="minorAscii" w:eastAsiaTheme="minorAscii" w:cstheme="minorBidi"/>
          <w:kern w:val="2"/>
          <w:lang w:eastAsia="en-US" w:bidi="ar-SA"/>
          <w14:ligatures w14:val="standardContextual"/>
        </w:rPr>
        <w:t xml:space="preserve"> </w:t>
      </w:r>
      <w:r w:rsidRPr="2CF7F6CC" w:rsidR="00A526FC">
        <w:rPr>
          <w:rFonts w:ascii="Calibri" w:hAnsi="Calibri" w:eastAsia="Calibri" w:cs="" w:asciiTheme="minorAscii" w:hAnsiTheme="minorAscii" w:eastAsiaTheme="minorAscii" w:cstheme="minorBidi"/>
          <w:kern w:val="2"/>
          <w:lang w:eastAsia="en-US" w:bidi="ar-SA"/>
          <w14:ligatures w14:val="standardContextual"/>
        </w:rPr>
        <w:t>year</w:t>
      </w:r>
      <w:r w:rsidRPr="2CF7F6CC" w:rsidR="00C46402">
        <w:rPr>
          <w:rFonts w:ascii="Calibri" w:hAnsi="Calibri" w:eastAsia="Calibri" w:cs="" w:asciiTheme="minorAscii" w:hAnsiTheme="minorAscii" w:eastAsiaTheme="minorAscii" w:cstheme="minorBidi"/>
          <w:kern w:val="2"/>
          <w:lang w:eastAsia="en-US" w:bidi="ar-SA"/>
          <w14:ligatures w14:val="standardContextual"/>
        </w:rPr>
        <w:t>,</w:t>
      </w:r>
      <w:r w:rsidRPr="2CF7F6CC" w:rsidR="00A526FC">
        <w:rPr>
          <w:rFonts w:ascii="Calibri" w:hAnsi="Calibri" w:eastAsia="Calibri" w:cs="" w:asciiTheme="minorAscii" w:hAnsiTheme="minorAscii" w:eastAsiaTheme="minorAscii" w:cstheme="minorBidi"/>
          <w:kern w:val="2"/>
          <w:lang w:eastAsia="en-US" w:bidi="ar-SA"/>
          <w14:ligatures w14:val="standardContextual"/>
        </w:rPr>
        <w:t xml:space="preserve"> </w:t>
      </w:r>
      <w:r w:rsidRPr="2CF7F6CC" w:rsidR="00C46402">
        <w:rPr>
          <w:rFonts w:ascii="Calibri" w:hAnsi="Calibri" w:eastAsia="Calibri" w:cs="" w:asciiTheme="minorAscii" w:hAnsiTheme="minorAscii" w:eastAsiaTheme="minorAscii" w:cstheme="minorBidi"/>
          <w:kern w:val="2"/>
          <w:lang w:eastAsia="en-US" w:bidi="ar-SA"/>
          <w14:ligatures w14:val="standardContextual"/>
        </w:rPr>
        <w:t>i</w:t>
      </w:r>
      <w:r w:rsidRPr="2CF7F6CC" w:rsidR="00A526FC">
        <w:rPr>
          <w:rFonts w:ascii="Calibri" w:hAnsi="Calibri" w:eastAsia="Calibri" w:cs="" w:asciiTheme="minorAscii" w:hAnsiTheme="minorAscii" w:eastAsiaTheme="minorAscii" w:cstheme="minorBidi"/>
          <w:kern w:val="2"/>
          <w:lang w:eastAsia="en-US" w:bidi="ar-SA"/>
          <w14:ligatures w14:val="standardContextual"/>
        </w:rPr>
        <w:t>t is possible to have a gender pay gap and to pay men and women fairly. Equal pay looks at the difference in men and women’s pay for the same or similar work. The gender pay gap is calculated by taking all employees across an organisation and comparing the average pay between men and women. Reporting annually is an important way to track how recruitment, reward, and progression decisions impact the achievement of a diverse, inclusive workforce.</w:t>
      </w:r>
      <w:r w:rsidR="00A526FC">
        <w:rPr/>
        <w:t xml:space="preserve"> </w:t>
      </w:r>
    </w:p>
    <w:p w:rsidR="00A526FC" w:rsidP="00A526FC" w:rsidRDefault="00A526FC" w14:paraId="5D46DA4E" w14:textId="77777777">
      <w:pPr>
        <w:pStyle w:val="NoSpacing"/>
        <w:jc w:val="both"/>
      </w:pPr>
    </w:p>
    <w:p w:rsidR="004C0EA2" w:rsidP="00A526FC" w:rsidRDefault="00A526FC" w14:paraId="2EFD0F8C" w14:textId="3531986F">
      <w:pPr>
        <w:pStyle w:val="NoSpacing"/>
        <w:jc w:val="both"/>
      </w:pPr>
      <w:r>
        <w:t xml:space="preserve">This report covers the </w:t>
      </w:r>
      <w:r w:rsidR="00C3634D">
        <w:t>20</w:t>
      </w:r>
      <w:r w:rsidR="00C60699">
        <w:t>2</w:t>
      </w:r>
      <w:r w:rsidR="00286602">
        <w:t>4</w:t>
      </w:r>
      <w:r>
        <w:t xml:space="preserve"> reporting cycle, using a snapshot date of </w:t>
      </w:r>
      <w:r w:rsidR="00C3634D">
        <w:t>31</w:t>
      </w:r>
      <w:r>
        <w:t xml:space="preserve"> </w:t>
      </w:r>
      <w:r w:rsidR="00C3634D">
        <w:t>December</w:t>
      </w:r>
      <w:r>
        <w:t xml:space="preserve"> 202</w:t>
      </w:r>
      <w:r w:rsidR="00286602">
        <w:t>4</w:t>
      </w:r>
      <w:r>
        <w:t xml:space="preserve">. </w:t>
      </w:r>
    </w:p>
    <w:p w:rsidR="001C2611" w:rsidP="00A526FC" w:rsidRDefault="001C2611" w14:paraId="17FC2572" w14:textId="77777777">
      <w:pPr>
        <w:pStyle w:val="NoSpacing"/>
        <w:jc w:val="both"/>
      </w:pPr>
    </w:p>
    <w:p w:rsidR="006F0788" w:rsidP="00A526FC" w:rsidRDefault="001C2611" w14:paraId="71E508FA" w14:textId="1B12BDCD">
      <w:pPr>
        <w:pStyle w:val="NoSpacing"/>
        <w:jc w:val="both"/>
      </w:pPr>
      <w:r w:rsidRPr="00E676C6">
        <w:t>This year our median pay gap</w:t>
      </w:r>
      <w:r w:rsidRPr="00E676C6" w:rsidR="00376C31">
        <w:t xml:space="preserve"> is </w:t>
      </w:r>
      <w:r w:rsidRPr="00E676C6" w:rsidR="00FC2B8D">
        <w:t>13</w:t>
      </w:r>
      <w:r w:rsidRPr="00E676C6" w:rsidR="00376C31">
        <w:t>.4</w:t>
      </w:r>
      <w:r w:rsidRPr="00E676C6" w:rsidR="00FC2B8D">
        <w:t>3</w:t>
      </w:r>
      <w:r w:rsidRPr="00E676C6" w:rsidR="00376C31">
        <w:t xml:space="preserve">% which is </w:t>
      </w:r>
      <w:r w:rsidRPr="00E676C6" w:rsidR="00FC2B8D">
        <w:t>slight</w:t>
      </w:r>
      <w:r w:rsidRPr="00E676C6" w:rsidR="00E676C6">
        <w:t>ly</w:t>
      </w:r>
      <w:r w:rsidRPr="00E676C6" w:rsidR="00376C31">
        <w:t xml:space="preserve"> lower th</w:t>
      </w:r>
      <w:r w:rsidRPr="00E676C6" w:rsidR="00903CBD">
        <w:t>a</w:t>
      </w:r>
      <w:r w:rsidRPr="00E676C6" w:rsidR="00376C31">
        <w:t xml:space="preserve">n the national average of </w:t>
      </w:r>
      <w:r w:rsidRPr="00E676C6" w:rsidR="00846FB7">
        <w:t>14.</w:t>
      </w:r>
      <w:r w:rsidRPr="00E676C6" w:rsidR="00E36BFB">
        <w:t>9</w:t>
      </w:r>
      <w:r w:rsidRPr="00E676C6" w:rsidR="00846FB7">
        <w:t>%</w:t>
      </w:r>
      <w:r w:rsidRPr="00E676C6" w:rsidR="00474533">
        <w:t xml:space="preserve">, whilst </w:t>
      </w:r>
      <w:r w:rsidRPr="00E676C6" w:rsidR="00A526FC">
        <w:t>our m</w:t>
      </w:r>
      <w:r w:rsidRPr="00E676C6">
        <w:t>ean</w:t>
      </w:r>
      <w:r w:rsidRPr="00E676C6" w:rsidR="00A526FC">
        <w:t xml:space="preserve"> pay </w:t>
      </w:r>
      <w:r w:rsidRPr="00E676C6" w:rsidR="00A50ABD">
        <w:t>gap was 2.1</w:t>
      </w:r>
      <w:r w:rsidR="00446F5D">
        <w:t>6</w:t>
      </w:r>
      <w:r w:rsidRPr="00E676C6" w:rsidR="00A50ABD">
        <w:t>%</w:t>
      </w:r>
      <w:r w:rsidRPr="00E676C6" w:rsidR="00A526FC">
        <w:t>.</w:t>
      </w:r>
      <w:r w:rsidRPr="00E676C6" w:rsidR="004633C0">
        <w:t xml:space="preserve"> This </w:t>
      </w:r>
      <w:r w:rsidRPr="00E676C6" w:rsidR="006F0788">
        <w:t>means</w:t>
      </w:r>
      <w:r w:rsidRPr="00E676C6" w:rsidR="004633C0">
        <w:t xml:space="preserve"> on average</w:t>
      </w:r>
      <w:r w:rsidRPr="00E676C6" w:rsidR="00780642">
        <w:t xml:space="preserve"> in 202</w:t>
      </w:r>
      <w:r w:rsidRPr="00E676C6" w:rsidR="00A50ABD">
        <w:t>4</w:t>
      </w:r>
      <w:r w:rsidRPr="00E676C6" w:rsidR="004633C0">
        <w:t xml:space="preserve"> women earn</w:t>
      </w:r>
      <w:r w:rsidRPr="00E676C6" w:rsidR="00474533">
        <w:t>ed</w:t>
      </w:r>
      <w:r w:rsidRPr="00E676C6" w:rsidR="004633C0">
        <w:t xml:space="preserve"> </w:t>
      </w:r>
      <w:r w:rsidR="00446F5D">
        <w:t>0.46p</w:t>
      </w:r>
      <w:r w:rsidRPr="00E676C6" w:rsidR="004633C0">
        <w:t xml:space="preserve"> </w:t>
      </w:r>
      <w:r w:rsidRPr="00E676C6" w:rsidR="00A50ABD">
        <w:t>less</w:t>
      </w:r>
      <w:r w:rsidRPr="00E676C6" w:rsidR="004633C0">
        <w:t xml:space="preserve"> </w:t>
      </w:r>
      <w:r w:rsidRPr="00E676C6" w:rsidR="00274D52">
        <w:t xml:space="preserve">per hour </w:t>
      </w:r>
      <w:r w:rsidRPr="00E676C6" w:rsidR="004633C0">
        <w:t>than men</w:t>
      </w:r>
      <w:r w:rsidRPr="00E676C6" w:rsidR="006F0788">
        <w:t>.</w:t>
      </w:r>
      <w:r w:rsidR="00A526FC">
        <w:t xml:space="preserve"> </w:t>
      </w:r>
    </w:p>
    <w:p w:rsidR="006F0788" w:rsidP="00A526FC" w:rsidRDefault="006F0788" w14:paraId="720DE5DC" w14:textId="77777777">
      <w:pPr>
        <w:pStyle w:val="NoSpacing"/>
        <w:jc w:val="both"/>
      </w:pPr>
    </w:p>
    <w:p w:rsidR="00A526FC" w:rsidP="00A526FC" w:rsidRDefault="00A526FC" w14:paraId="1BEFF8A8" w14:textId="63268E50">
      <w:pPr>
        <w:pStyle w:val="NoSpacing"/>
        <w:jc w:val="both"/>
      </w:pPr>
      <w:r>
        <w:t xml:space="preserve">We </w:t>
      </w:r>
      <w:r w:rsidR="00F154C7">
        <w:t>can</w:t>
      </w:r>
      <w:r w:rsidR="00B74526">
        <w:t xml:space="preserve"> see</w:t>
      </w:r>
      <w:r>
        <w:t xml:space="preserve"> fluctuations in our reported pay gap </w:t>
      </w:r>
      <w:r w:rsidR="00BC36B0">
        <w:t>as we</w:t>
      </w:r>
      <w:r>
        <w:t xml:space="preserve"> are a medium-sized organisation with a predominantly female workforce,</w:t>
      </w:r>
      <w:r w:rsidR="00BC36B0">
        <w:t xml:space="preserve"> therefore</w:t>
      </w:r>
      <w:r>
        <w:t xml:space="preserve"> small changes in our employee profile</w:t>
      </w:r>
      <w:r w:rsidR="00BC36B0">
        <w:t xml:space="preserve"> can have</w:t>
      </w:r>
      <w:r>
        <w:t xml:space="preserve"> a significant impact. </w:t>
      </w:r>
    </w:p>
    <w:p w:rsidR="00A526FC" w:rsidP="00A526FC" w:rsidRDefault="00A526FC" w14:paraId="3992FA2A" w14:textId="77777777">
      <w:pPr>
        <w:pStyle w:val="NoSpacing"/>
        <w:jc w:val="both"/>
      </w:pPr>
    </w:p>
    <w:p w:rsidR="00A526FC" w:rsidP="00B00F89" w:rsidRDefault="009A13AE" w14:paraId="05E5A6F9" w14:textId="2E7F1880">
      <w:pPr>
        <w:pStyle w:val="NoSpacing"/>
        <w:jc w:val="both"/>
      </w:pPr>
      <w:r>
        <w:t xml:space="preserve">In </w:t>
      </w:r>
      <w:r w:rsidR="00A526FC">
        <w:t xml:space="preserve">reporting our gender pay gap data, we choose to go behind the headline figures. We do this because we are committed to fostering inclusion, equity, and equality within </w:t>
      </w:r>
      <w:r>
        <w:t xml:space="preserve">Birmingham Children’s </w:t>
      </w:r>
      <w:proofErr w:type="gramStart"/>
      <w:r>
        <w:t>Trust</w:t>
      </w:r>
      <w:proofErr w:type="gramEnd"/>
      <w:r>
        <w:t xml:space="preserve"> </w:t>
      </w:r>
      <w:r w:rsidR="00A526FC">
        <w:t xml:space="preserve">and we want to understand how our culture and actions help us </w:t>
      </w:r>
      <w:r w:rsidR="008743CB">
        <w:t xml:space="preserve">to </w:t>
      </w:r>
      <w:r w:rsidR="00A526FC">
        <w:t xml:space="preserve">close the gap. </w:t>
      </w:r>
    </w:p>
    <w:p w:rsidR="00B00F89" w:rsidP="00B00F89" w:rsidRDefault="00B00F89" w14:paraId="6FB8762F" w14:textId="77777777">
      <w:pPr>
        <w:pStyle w:val="NoSpacing"/>
        <w:jc w:val="both"/>
      </w:pPr>
    </w:p>
    <w:p w:rsidR="00A526FC" w:rsidP="00A526FC" w:rsidRDefault="00A526FC" w14:paraId="1E157EC3" w14:textId="24733A00">
      <w:pPr>
        <w:pStyle w:val="NoSpacing"/>
      </w:pPr>
    </w:p>
    <w:p w:rsidR="00A526FC" w:rsidP="00A526FC" w:rsidRDefault="00A526FC" w14:paraId="331EC9A1" w14:textId="2118BF53">
      <w:pPr>
        <w:pStyle w:val="NoSpacing"/>
      </w:pPr>
      <w:r>
        <w:rPr>
          <w:noProof/>
        </w:rPr>
        <mc:AlternateContent>
          <mc:Choice Requires="wps">
            <w:drawing>
              <wp:anchor distT="45720" distB="45720" distL="114300" distR="114300" simplePos="0" relativeHeight="251670528" behindDoc="0" locked="0" layoutInCell="1" allowOverlap="1" wp14:anchorId="6C2600A8" wp14:editId="53FF6984">
                <wp:simplePos x="0" y="0"/>
                <wp:positionH relativeFrom="column">
                  <wp:posOffset>1682750</wp:posOffset>
                </wp:positionH>
                <wp:positionV relativeFrom="paragraph">
                  <wp:posOffset>142240</wp:posOffset>
                </wp:positionV>
                <wp:extent cx="2360930" cy="1404620"/>
                <wp:effectExtent l="0" t="0" r="0" b="1905"/>
                <wp:wrapSquare wrapText="bothSides"/>
                <wp:docPr id="1077944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526FC" w:rsidP="00A526FC" w:rsidRDefault="00A526FC" w14:paraId="023933D1" w14:textId="77777777">
                            <w:r>
                              <w:t>Declaration I confirm that our data has been calculated according to the requirements of the Equality Act 2010 (Gender Pay Gap Information) Regulations 2017.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6C2600A8">
                <v:stroke joinstyle="miter"/>
                <v:path gradientshapeok="t" o:connecttype="rect"/>
              </v:shapetype>
              <v:shape id="Text Box 2" style="position:absolute;margin-left:132.5pt;margin-top:11.2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">
                <v:textbox style="mso-fit-shape-to-text:t">
                  <w:txbxContent>
                    <w:p w:rsidR="00A526FC" w:rsidP="00A526FC" w:rsidRDefault="00A526FC" w14:paraId="023933D1" w14:textId="77777777">
                      <w:r>
                        <w:t>Declaration I confirm that our data has been calculated according to the requirements of the Equality Act 2010 (Gender Pay Gap Information) Regulations 2017.</w:t>
                      </w:r>
                    </w:p>
                  </w:txbxContent>
                </v:textbox>
                <w10:wrap type="square"/>
              </v:shape>
            </w:pict>
          </mc:Fallback>
        </mc:AlternateContent>
      </w:r>
    </w:p>
    <w:p w:rsidR="00A526FC" w:rsidP="00A526FC" w:rsidRDefault="00247CEB" w14:paraId="4A1B00D7" w14:textId="4D70A7E5">
      <w:pPr>
        <w:pStyle w:val="NoSpacing"/>
      </w:pPr>
      <w:r>
        <w:rPr>
          <w:noProof/>
        </w:rPr>
        <w:drawing>
          <wp:anchor distT="0" distB="0" distL="114300" distR="114300" simplePos="0" relativeHeight="251668480" behindDoc="0" locked="0" layoutInCell="1" allowOverlap="1" wp14:anchorId="3CF66370" wp14:editId="078BB682">
            <wp:simplePos x="0" y="0"/>
            <wp:positionH relativeFrom="margin">
              <wp:posOffset>101600</wp:posOffset>
            </wp:positionH>
            <wp:positionV relativeFrom="paragraph">
              <wp:posOffset>3810</wp:posOffset>
            </wp:positionV>
            <wp:extent cx="1219200" cy="1219200"/>
            <wp:effectExtent l="0" t="0" r="0" b="0"/>
            <wp:wrapThrough wrapText="bothSides">
              <wp:wrapPolygon edited="0">
                <wp:start x="8100" y="0"/>
                <wp:lineTo x="5738" y="1013"/>
                <wp:lineTo x="1013" y="4725"/>
                <wp:lineTo x="0" y="9113"/>
                <wp:lineTo x="0" y="12488"/>
                <wp:lineTo x="1688" y="16538"/>
                <wp:lineTo x="1688" y="17550"/>
                <wp:lineTo x="7763" y="21263"/>
                <wp:lineTo x="9450" y="21263"/>
                <wp:lineTo x="11813" y="21263"/>
                <wp:lineTo x="13500" y="21263"/>
                <wp:lineTo x="19575" y="17550"/>
                <wp:lineTo x="19575" y="16538"/>
                <wp:lineTo x="21263" y="12488"/>
                <wp:lineTo x="21263" y="9113"/>
                <wp:lineTo x="20588" y="5063"/>
                <wp:lineTo x="15525" y="1013"/>
                <wp:lineTo x="13163" y="0"/>
                <wp:lineTo x="8100" y="0"/>
              </wp:wrapPolygon>
            </wp:wrapThrough>
            <wp:docPr id="1509360271" name="Picture 1" descr="A person in a black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60271" name="Picture 1" descr="A person in a black sui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200" cy="12192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A526FC" w:rsidP="00A526FC" w:rsidRDefault="00A526FC" w14:paraId="11131526" w14:textId="28BBD8C4">
      <w:pPr>
        <w:pStyle w:val="NoSpacing"/>
      </w:pPr>
    </w:p>
    <w:p w:rsidR="00A526FC" w:rsidP="00A526FC" w:rsidRDefault="00A526FC" w14:paraId="24301FE0" w14:textId="77777777">
      <w:pPr>
        <w:pStyle w:val="NoSpacing"/>
      </w:pPr>
    </w:p>
    <w:p w:rsidR="00A526FC" w:rsidP="00A526FC" w:rsidRDefault="00A526FC" w14:paraId="6D37EB6A" w14:textId="4618CBB8">
      <w:pPr>
        <w:pStyle w:val="NoSpacing"/>
      </w:pPr>
    </w:p>
    <w:p w:rsidR="00A526FC" w:rsidP="00A526FC" w:rsidRDefault="00A526FC" w14:paraId="18E41F8B" w14:textId="3A63606C">
      <w:pPr>
        <w:pStyle w:val="NoSpacing"/>
      </w:pPr>
    </w:p>
    <w:p w:rsidR="00A526FC" w:rsidP="00A526FC" w:rsidRDefault="00A526FC" w14:paraId="0AF8BB23" w14:textId="7EA34D30">
      <w:pPr>
        <w:pStyle w:val="NoSpacing"/>
      </w:pPr>
    </w:p>
    <w:p w:rsidR="00A526FC" w:rsidP="00A526FC" w:rsidRDefault="00A526FC" w14:paraId="5E8021BC" w14:textId="3F4D14B5">
      <w:pPr>
        <w:pStyle w:val="NoSpacing"/>
      </w:pPr>
    </w:p>
    <w:p w:rsidR="00A526FC" w:rsidP="00A526FC" w:rsidRDefault="00247CEB" w14:paraId="793FD913" w14:textId="52FC93D9">
      <w:pPr>
        <w:pStyle w:val="NoSpacing"/>
      </w:pPr>
      <w:r>
        <w:rPr>
          <w:noProof/>
        </w:rPr>
        <w:drawing>
          <wp:anchor distT="0" distB="0" distL="114300" distR="114300" simplePos="0" relativeHeight="251667456" behindDoc="0" locked="0" layoutInCell="1" allowOverlap="1" wp14:anchorId="33708B8A" wp14:editId="71F280E4">
            <wp:simplePos x="0" y="0"/>
            <wp:positionH relativeFrom="column">
              <wp:posOffset>2113915</wp:posOffset>
            </wp:positionH>
            <wp:positionV relativeFrom="paragraph">
              <wp:posOffset>73660</wp:posOffset>
            </wp:positionV>
            <wp:extent cx="1299210" cy="457200"/>
            <wp:effectExtent l="0" t="0" r="0" b="0"/>
            <wp:wrapThrough wrapText="bothSides">
              <wp:wrapPolygon edited="0">
                <wp:start x="0" y="0"/>
                <wp:lineTo x="0" y="20700"/>
                <wp:lineTo x="21220" y="20700"/>
                <wp:lineTo x="21220" y="0"/>
                <wp:lineTo x="0" y="0"/>
              </wp:wrapPolygon>
            </wp:wrapThrough>
            <wp:docPr id="355886403"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86403" name="Picture 2" descr="A close-up of a signatu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9210" cy="457200"/>
                    </a:xfrm>
                    <a:prstGeom prst="rect">
                      <a:avLst/>
                    </a:prstGeom>
                  </pic:spPr>
                </pic:pic>
              </a:graphicData>
            </a:graphic>
            <wp14:sizeRelH relativeFrom="page">
              <wp14:pctWidth>0</wp14:pctWidth>
            </wp14:sizeRelH>
            <wp14:sizeRelV relativeFrom="page">
              <wp14:pctHeight>0</wp14:pctHeight>
            </wp14:sizeRelV>
          </wp:anchor>
        </w:drawing>
      </w:r>
    </w:p>
    <w:p w:rsidR="00A526FC" w:rsidP="00A526FC" w:rsidRDefault="00247CEB" w14:paraId="0376C091" w14:textId="40D553CC">
      <w:pPr>
        <w:pStyle w:val="NoSpacing"/>
      </w:pPr>
      <w:r>
        <w:rPr>
          <w:noProof/>
        </w:rPr>
        <mc:AlternateContent>
          <mc:Choice Requires="wps">
            <w:drawing>
              <wp:anchor distT="45720" distB="45720" distL="114300" distR="114300" simplePos="0" relativeHeight="251672576" behindDoc="0" locked="0" layoutInCell="1" allowOverlap="1" wp14:anchorId="3BA90C8A" wp14:editId="550CA482">
                <wp:simplePos x="0" y="0"/>
                <wp:positionH relativeFrom="column">
                  <wp:posOffset>19050</wp:posOffset>
                </wp:positionH>
                <wp:positionV relativeFrom="paragraph">
                  <wp:posOffset>4445</wp:posOffset>
                </wp:positionV>
                <wp:extent cx="1835150" cy="1404620"/>
                <wp:effectExtent l="0" t="0" r="0" b="0"/>
                <wp:wrapSquare wrapText="bothSides"/>
                <wp:docPr id="226671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404620"/>
                        </a:xfrm>
                        <a:prstGeom prst="rect">
                          <a:avLst/>
                        </a:prstGeom>
                        <a:solidFill>
                          <a:srgbClr val="FFFFFF"/>
                        </a:solidFill>
                        <a:ln w="9525">
                          <a:noFill/>
                          <a:miter lim="800000"/>
                          <a:headEnd/>
                          <a:tailEnd/>
                        </a:ln>
                      </wps:spPr>
                      <wps:txbx>
                        <w:txbxContent>
                          <w:p w:rsidRPr="00A526FC" w:rsidR="00A526FC" w:rsidP="00A526FC" w:rsidRDefault="00A526FC" w14:paraId="30F048E0" w14:textId="30348F7A">
                            <w:pPr>
                              <w:pStyle w:val="NoSpacing"/>
                              <w:rPr>
                                <w:b/>
                                <w:bCs/>
                              </w:rPr>
                            </w:pPr>
                            <w:r w:rsidRPr="00A526FC">
                              <w:rPr>
                                <w:b/>
                                <w:bCs/>
                              </w:rPr>
                              <w:t>Nikki Harding</w:t>
                            </w:r>
                            <w:r w:rsidR="00247CEB">
                              <w:rPr>
                                <w:b/>
                                <w:bCs/>
                              </w:rPr>
                              <w:t xml:space="preserve"> FCIPD</w:t>
                            </w:r>
                          </w:p>
                          <w:p w:rsidR="00A526FC" w:rsidP="00A526FC" w:rsidRDefault="00A526FC" w14:paraId="0D288462" w14:textId="7600B9E5">
                            <w:pPr>
                              <w:pStyle w:val="NoSpacing"/>
                            </w:pPr>
                            <w:r>
                              <w:t xml:space="preserve">Head of HR </w:t>
                            </w:r>
                          </w:p>
                          <w:p w:rsidR="00247CEB" w:rsidP="00A526FC" w:rsidRDefault="00247CEB" w14:paraId="37A0E0A1" w14:textId="737E9FE0">
                            <w:pPr>
                              <w:pStyle w:val="NoSpacing"/>
                            </w:pPr>
                            <w:r>
                              <w:t>Birmingham Children’s Trust</w:t>
                            </w:r>
                          </w:p>
                          <w:p w:rsidR="00A526FC" w:rsidP="00A526FC" w:rsidRDefault="00A526FC" w14:paraId="666B5042" w14:textId="3A0C4DC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1.5pt;margin-top:.35pt;width:144.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" w14:anchorId="3BA90C8A">
                <v:textbox style="mso-fit-shape-to-text:t">
                  <w:txbxContent>
                    <w:p w:rsidRPr="00A526FC" w:rsidR="00A526FC" w:rsidP="00A526FC" w:rsidRDefault="00A526FC" w14:paraId="30F048E0" w14:textId="30348F7A">
                      <w:pPr>
                        <w:pStyle w:val="NoSpacing"/>
                        <w:rPr>
                          <w:b/>
                          <w:bCs/>
                        </w:rPr>
                      </w:pPr>
                      <w:r w:rsidRPr="00A526FC">
                        <w:rPr>
                          <w:b/>
                          <w:bCs/>
                        </w:rPr>
                        <w:t>Nikki Harding</w:t>
                      </w:r>
                      <w:r w:rsidR="00247CEB">
                        <w:rPr>
                          <w:b/>
                          <w:bCs/>
                        </w:rPr>
                        <w:t xml:space="preserve"> FCIPD</w:t>
                      </w:r>
                    </w:p>
                    <w:p w:rsidR="00A526FC" w:rsidP="00A526FC" w:rsidRDefault="00A526FC" w14:paraId="0D288462" w14:textId="7600B9E5">
                      <w:pPr>
                        <w:pStyle w:val="NoSpacing"/>
                      </w:pPr>
                      <w:r>
                        <w:t xml:space="preserve">Head of HR </w:t>
                      </w:r>
                    </w:p>
                    <w:p w:rsidR="00247CEB" w:rsidP="00A526FC" w:rsidRDefault="00247CEB" w14:paraId="37A0E0A1" w14:textId="737E9FE0">
                      <w:pPr>
                        <w:pStyle w:val="NoSpacing"/>
                      </w:pPr>
                      <w:r>
                        <w:t>Birmingham Children’s Trust</w:t>
                      </w:r>
                    </w:p>
                    <w:p w:rsidR="00A526FC" w:rsidP="00A526FC" w:rsidRDefault="00A526FC" w14:paraId="666B5042" w14:textId="3A0C4DC2"/>
                  </w:txbxContent>
                </v:textbox>
                <w10:wrap type="square"/>
              </v:shape>
            </w:pict>
          </mc:Fallback>
        </mc:AlternateContent>
      </w:r>
    </w:p>
    <w:p w:rsidR="00A526FC" w:rsidP="00A526FC" w:rsidRDefault="00A526FC" w14:paraId="34531D75" w14:textId="77777777">
      <w:pPr>
        <w:pStyle w:val="NoSpacing"/>
      </w:pPr>
    </w:p>
    <w:p w:rsidR="00A526FC" w:rsidP="00A526FC" w:rsidRDefault="00A526FC" w14:paraId="09FEBBCD" w14:textId="77777777">
      <w:pPr>
        <w:pStyle w:val="NoSpacing"/>
      </w:pPr>
    </w:p>
    <w:p w:rsidR="00A526FC" w:rsidP="00A526FC" w:rsidRDefault="00A526FC" w14:paraId="5D0DC9BD" w14:textId="77777777">
      <w:pPr>
        <w:pStyle w:val="NoSpacing"/>
      </w:pPr>
    </w:p>
    <w:p w:rsidR="00A526FC" w:rsidP="00A526FC" w:rsidRDefault="00A526FC" w14:paraId="4950931F" w14:textId="77777777">
      <w:pPr>
        <w:pStyle w:val="NoSpacing"/>
      </w:pPr>
    </w:p>
    <w:p w:rsidR="00A526FC" w:rsidP="00A526FC" w:rsidRDefault="00A526FC" w14:paraId="42A8C9C6" w14:textId="77777777">
      <w:pPr>
        <w:pStyle w:val="NoSpacing"/>
      </w:pPr>
    </w:p>
    <w:p w:rsidR="00A526FC" w:rsidP="004E7838" w:rsidRDefault="004E7838" w14:paraId="147EAA72" w14:textId="471893B8">
      <w:pPr>
        <w:pStyle w:val="Heading1"/>
        <w:rPr>
          <w:b/>
          <w:bCs/>
          <w:color w:val="FFC000"/>
        </w:rPr>
      </w:pPr>
      <w:bookmarkStart w:name="_Toc188805624" w:id="1"/>
      <w:proofErr w:type="gramStart"/>
      <w:r>
        <w:rPr>
          <w:b/>
          <w:bCs/>
          <w:color w:val="FFC000"/>
        </w:rPr>
        <w:lastRenderedPageBreak/>
        <w:t>Overview  -</w:t>
      </w:r>
      <w:proofErr w:type="gramEnd"/>
      <w:r>
        <w:rPr>
          <w:b/>
          <w:bCs/>
          <w:color w:val="FFC000"/>
        </w:rPr>
        <w:t xml:space="preserve"> </w:t>
      </w:r>
      <w:r w:rsidRPr="00EE531C" w:rsidR="00EE531C">
        <w:rPr>
          <w:b/>
          <w:bCs/>
          <w:color w:val="FFC000"/>
        </w:rPr>
        <w:t xml:space="preserve">Reporting </w:t>
      </w:r>
      <w:r>
        <w:rPr>
          <w:b/>
          <w:bCs/>
          <w:color w:val="FFC000"/>
        </w:rPr>
        <w:t>G</w:t>
      </w:r>
      <w:r w:rsidRPr="00EE531C" w:rsidR="00EE531C">
        <w:rPr>
          <w:b/>
          <w:bCs/>
          <w:color w:val="FFC000"/>
        </w:rPr>
        <w:t xml:space="preserve">ender </w:t>
      </w:r>
      <w:r>
        <w:rPr>
          <w:b/>
          <w:bCs/>
          <w:color w:val="FFC000"/>
        </w:rPr>
        <w:t>P</w:t>
      </w:r>
      <w:r w:rsidRPr="00EE531C" w:rsidR="00EE531C">
        <w:rPr>
          <w:b/>
          <w:bCs/>
          <w:color w:val="FFC000"/>
        </w:rPr>
        <w:t xml:space="preserve">ay </w:t>
      </w:r>
      <w:r>
        <w:rPr>
          <w:b/>
          <w:bCs/>
          <w:color w:val="FFC000"/>
        </w:rPr>
        <w:t>G</w:t>
      </w:r>
      <w:r w:rsidRPr="00EE531C" w:rsidR="00EE531C">
        <w:rPr>
          <w:b/>
          <w:bCs/>
          <w:color w:val="FFC000"/>
        </w:rPr>
        <w:t>aps</w:t>
      </w:r>
      <w:bookmarkEnd w:id="1"/>
      <w:r w:rsidRPr="00EE531C" w:rsidR="00EE531C">
        <w:rPr>
          <w:b/>
          <w:bCs/>
          <w:color w:val="FFC000"/>
        </w:rPr>
        <w:t xml:space="preserve"> </w:t>
      </w:r>
    </w:p>
    <w:p w:rsidRPr="004E7838" w:rsidR="004E7838" w:rsidP="004E7838" w:rsidRDefault="004E7838" w14:paraId="0FB11642" w14:textId="77777777"/>
    <w:p w:rsidR="00174737" w:rsidP="00DF011E" w:rsidRDefault="00DF011E" w14:paraId="607FD11C" w14:textId="77777777">
      <w:pPr>
        <w:pStyle w:val="NoSpacing"/>
        <w:jc w:val="both"/>
      </w:pPr>
      <w:r>
        <w:t>In the UK, public, private and voluntary sector organisations with 250 or more employees are required to report on their gender pay gaps annually. The reports show the difference between the average earnings of men and women, expressed relative to men’s earnings.</w:t>
      </w:r>
    </w:p>
    <w:p w:rsidR="00174737" w:rsidP="00DF011E" w:rsidRDefault="00174737" w14:paraId="0CED48E1" w14:textId="77777777">
      <w:pPr>
        <w:pStyle w:val="NoSpacing"/>
        <w:jc w:val="both"/>
      </w:pPr>
    </w:p>
    <w:p w:rsidR="00174737" w:rsidP="00DF011E" w:rsidRDefault="00DF011E" w14:paraId="6A42D0A0" w14:textId="77777777">
      <w:pPr>
        <w:pStyle w:val="NoSpacing"/>
        <w:jc w:val="both"/>
      </w:pPr>
      <w:r>
        <w:t xml:space="preserve">If an organisation reports a gender pay gap, it does not mean women are paid less than men for doing the same job, but it does show that, on average, men occupy higher-paying roles than women. </w:t>
      </w:r>
    </w:p>
    <w:p w:rsidR="00174737" w:rsidP="00DF011E" w:rsidRDefault="00174737" w14:paraId="647063CB" w14:textId="77777777">
      <w:pPr>
        <w:pStyle w:val="NoSpacing"/>
        <w:jc w:val="both"/>
      </w:pPr>
    </w:p>
    <w:p w:rsidR="00DF011E" w:rsidP="00DF011E" w:rsidRDefault="00DF011E" w14:paraId="79B84342" w14:textId="204A7B7E">
      <w:pPr>
        <w:pStyle w:val="NoSpacing"/>
        <w:jc w:val="both"/>
      </w:pPr>
      <w:r>
        <w:t xml:space="preserve">Employers must report six different measures, based on a snapshot of pay data on a date set out by the Government Equalities Office: </w:t>
      </w:r>
    </w:p>
    <w:p w:rsidR="007D2AC0" w:rsidP="00DF011E" w:rsidRDefault="007D2AC0" w14:paraId="2374858C" w14:textId="77777777">
      <w:pPr>
        <w:pStyle w:val="NoSpacing"/>
        <w:jc w:val="both"/>
      </w:pPr>
    </w:p>
    <w:p w:rsidR="00DF011E" w:rsidP="00DF011E" w:rsidRDefault="00DF011E" w14:paraId="6E8B9A76" w14:textId="77777777">
      <w:pPr>
        <w:pStyle w:val="NoSpacing"/>
        <w:jc w:val="both"/>
      </w:pPr>
    </w:p>
    <w:p w:rsidR="00174737" w:rsidP="00DF011E" w:rsidRDefault="004B4942" w14:paraId="19050933" w14:textId="2CF078DD">
      <w:pPr>
        <w:pStyle w:val="NoSpacing"/>
        <w:numPr>
          <w:ilvl w:val="0"/>
          <w:numId w:val="1"/>
        </w:numPr>
      </w:pPr>
      <w:r>
        <w:t>M</w:t>
      </w:r>
      <w:r w:rsidR="00DF011E">
        <w:t>edian gender pay gap – the difference between the median hourly rate of pay of male full-pay relevant employees and that of female full-pay relevant employees</w:t>
      </w:r>
      <w:r w:rsidR="004E7838">
        <w:t>.</w:t>
      </w:r>
    </w:p>
    <w:p w:rsidR="004B4942" w:rsidP="004B4942" w:rsidRDefault="004B4942" w14:paraId="66B37A1B" w14:textId="77777777">
      <w:pPr>
        <w:pStyle w:val="NoSpacing"/>
        <w:ind w:left="720"/>
      </w:pPr>
    </w:p>
    <w:p w:rsidR="004B4942" w:rsidP="00DF011E" w:rsidRDefault="004B4942" w14:paraId="7DDD0ED2" w14:textId="27260B5C">
      <w:pPr>
        <w:pStyle w:val="NoSpacing"/>
        <w:numPr>
          <w:ilvl w:val="0"/>
          <w:numId w:val="1"/>
        </w:numPr>
      </w:pPr>
      <w:r>
        <w:t>M</w:t>
      </w:r>
      <w:r w:rsidR="00DF011E">
        <w:t>ean gender pay gap – the difference between the mean hourly rate of pay of male full-pay relevant employees and that of female full-pay relevant employees</w:t>
      </w:r>
      <w:r w:rsidR="004E7838">
        <w:t>.</w:t>
      </w:r>
    </w:p>
    <w:p w:rsidR="004B4942" w:rsidP="004B4942" w:rsidRDefault="004B4942" w14:paraId="209EFACD" w14:textId="77777777">
      <w:pPr>
        <w:pStyle w:val="NoSpacing"/>
      </w:pPr>
    </w:p>
    <w:p w:rsidR="004B4942" w:rsidP="00DF011E" w:rsidRDefault="004B4942" w14:paraId="0E44015B" w14:textId="59D95512">
      <w:pPr>
        <w:pStyle w:val="NoSpacing"/>
        <w:numPr>
          <w:ilvl w:val="0"/>
          <w:numId w:val="1"/>
        </w:numPr>
      </w:pPr>
      <w:r>
        <w:t>M</w:t>
      </w:r>
      <w:r w:rsidR="00DF011E">
        <w:t>edian bonus gap – the difference between the median bonus pay paid to male relevant employees and that paid to female relevant employees</w:t>
      </w:r>
      <w:r w:rsidR="00125B23">
        <w:t>.</w:t>
      </w:r>
    </w:p>
    <w:p w:rsidR="004B4942" w:rsidP="004B4942" w:rsidRDefault="004B4942" w14:paraId="7D237354" w14:textId="77777777">
      <w:pPr>
        <w:pStyle w:val="NoSpacing"/>
      </w:pPr>
    </w:p>
    <w:p w:rsidR="004B4942" w:rsidP="00DF011E" w:rsidRDefault="004B4942" w14:paraId="5103C14F" w14:textId="43E8ED03">
      <w:pPr>
        <w:pStyle w:val="NoSpacing"/>
        <w:numPr>
          <w:ilvl w:val="0"/>
          <w:numId w:val="1"/>
        </w:numPr>
      </w:pPr>
      <w:r>
        <w:t>M</w:t>
      </w:r>
      <w:r w:rsidR="00DF011E">
        <w:t>ean bonus gap – the difference between the mean bonus pay paid to male relevant employees and that paid to female relevant employees</w:t>
      </w:r>
      <w:r w:rsidR="00125B23">
        <w:t>.</w:t>
      </w:r>
    </w:p>
    <w:p w:rsidR="004B4942" w:rsidP="004B4942" w:rsidRDefault="004B4942" w14:paraId="135F72A7" w14:textId="77777777">
      <w:pPr>
        <w:pStyle w:val="NoSpacing"/>
      </w:pPr>
    </w:p>
    <w:p w:rsidR="004B4942" w:rsidP="00DF011E" w:rsidRDefault="004B4942" w14:paraId="5F89AD2F" w14:textId="28753958">
      <w:pPr>
        <w:pStyle w:val="NoSpacing"/>
        <w:numPr>
          <w:ilvl w:val="0"/>
          <w:numId w:val="1"/>
        </w:numPr>
      </w:pPr>
      <w:r>
        <w:t>B</w:t>
      </w:r>
      <w:r w:rsidR="00DF011E">
        <w:t>onus proportions – the proportions of male and female relevant employees who were paid bonus pay during the relevant period</w:t>
      </w:r>
      <w:r w:rsidR="00125B23">
        <w:t>.</w:t>
      </w:r>
    </w:p>
    <w:p w:rsidR="004B4942" w:rsidP="004B4942" w:rsidRDefault="004B4942" w14:paraId="367C22D2" w14:textId="77777777">
      <w:pPr>
        <w:pStyle w:val="NoSpacing"/>
      </w:pPr>
    </w:p>
    <w:p w:rsidR="00DF011E" w:rsidP="00DF011E" w:rsidRDefault="004B4942" w14:paraId="7C6203E7" w14:textId="04E2ACF3">
      <w:pPr>
        <w:pStyle w:val="NoSpacing"/>
        <w:numPr>
          <w:ilvl w:val="0"/>
          <w:numId w:val="1"/>
        </w:numPr>
      </w:pPr>
      <w:r>
        <w:t>Q</w:t>
      </w:r>
      <w:r w:rsidR="00DF011E">
        <w:t xml:space="preserve">uartile pay bands – the proportions of male and female full-pay relevant employees in the lower, </w:t>
      </w:r>
      <w:r w:rsidR="00C60699">
        <w:t>lower-middle</w:t>
      </w:r>
      <w:r w:rsidR="00DF011E">
        <w:t>, upper-middle and upper quartile pay bands.</w:t>
      </w:r>
    </w:p>
    <w:p w:rsidR="00DF011E" w:rsidP="00DF011E" w:rsidRDefault="00DF011E" w14:paraId="4D11AE0C" w14:textId="77777777">
      <w:pPr>
        <w:pStyle w:val="NoSpacing"/>
        <w:jc w:val="both"/>
      </w:pPr>
    </w:p>
    <w:p w:rsidR="007D2AC0" w:rsidP="00DF011E" w:rsidRDefault="007D2AC0" w14:paraId="14340967" w14:textId="77777777">
      <w:pPr>
        <w:pStyle w:val="NoSpacing"/>
        <w:jc w:val="both"/>
      </w:pPr>
    </w:p>
    <w:p w:rsidR="00F91131" w:rsidP="00DF011E" w:rsidRDefault="00DF011E" w14:paraId="41E0EC9D" w14:textId="0F2832DD">
      <w:pPr>
        <w:pStyle w:val="NoSpacing"/>
        <w:jc w:val="both"/>
      </w:pPr>
      <w:r>
        <w:t xml:space="preserve">Headlines about the gender pay gap tend to focus on the median figure, which ignores extremes and is therefore thought to be the most representative measure. It is, however, important to report </w:t>
      </w:r>
      <w:r w:rsidR="00F91131">
        <w:t>all</w:t>
      </w:r>
      <w:r>
        <w:t xml:space="preserve"> these measures. </w:t>
      </w:r>
    </w:p>
    <w:p w:rsidR="00F91131" w:rsidP="00DF011E" w:rsidRDefault="00F91131" w14:paraId="366F9218" w14:textId="77777777">
      <w:pPr>
        <w:pStyle w:val="NoSpacing"/>
        <w:jc w:val="both"/>
      </w:pPr>
    </w:p>
    <w:p w:rsidR="000B6D19" w:rsidP="00DF011E" w:rsidRDefault="00DF011E" w14:paraId="1F936C5F" w14:textId="77777777">
      <w:pPr>
        <w:pStyle w:val="NoSpacing"/>
        <w:jc w:val="both"/>
      </w:pPr>
      <w:r>
        <w:t xml:space="preserve">Each one tells you something different about the underlying causes of the gender pay gap and each one can mask issues that another may highlight. If there is a big difference between an organisation’s mean and median pay gap, this indicates that the dataset is skewed – either by the presence of very low earners (making the mean lower than the median), or by a group of very high earners (making the mean bigger than the median). </w:t>
      </w:r>
    </w:p>
    <w:p w:rsidR="000B6D19" w:rsidP="00DF011E" w:rsidRDefault="000B6D19" w14:paraId="29CEB0A0" w14:textId="77777777">
      <w:pPr>
        <w:pStyle w:val="NoSpacing"/>
        <w:jc w:val="both"/>
      </w:pPr>
    </w:p>
    <w:p w:rsidR="00F91131" w:rsidP="00DF011E" w:rsidRDefault="00DF011E" w14:paraId="6C00C4E5" w14:textId="75B131C1">
      <w:pPr>
        <w:pStyle w:val="NoSpacing"/>
        <w:jc w:val="both"/>
      </w:pPr>
      <w:r>
        <w:t xml:space="preserve">Taking a ‘snapshot’ of this data on a set date, as required by regulation, creates a level playing field for all reporting organisations. </w:t>
      </w:r>
    </w:p>
    <w:p w:rsidR="00F91131" w:rsidP="00DF011E" w:rsidRDefault="00F91131" w14:paraId="17366CC2" w14:textId="77777777">
      <w:pPr>
        <w:pStyle w:val="NoSpacing"/>
        <w:jc w:val="both"/>
      </w:pPr>
    </w:p>
    <w:p w:rsidR="00855EB3" w:rsidP="00DF011E" w:rsidRDefault="00DF011E" w14:paraId="252836BC" w14:textId="4B623EA5">
      <w:pPr>
        <w:pStyle w:val="NoSpacing"/>
        <w:jc w:val="both"/>
      </w:pPr>
      <w:r>
        <w:t>However, it masks the fluidity of gender pay gaps, which can fluctuate from month to month and across pay quartiles depending on changes to headcount</w:t>
      </w:r>
      <w:r w:rsidR="003010AF">
        <w:t>.</w:t>
      </w:r>
    </w:p>
    <w:p w:rsidR="00A526FC" w:rsidP="00A526FC" w:rsidRDefault="00A526FC" w14:paraId="5418C24E" w14:textId="77777777">
      <w:pPr>
        <w:pStyle w:val="NoSpacing"/>
      </w:pPr>
    </w:p>
    <w:p w:rsidR="00A526FC" w:rsidP="00A526FC" w:rsidRDefault="00A526FC" w14:paraId="276B5E42" w14:textId="77777777">
      <w:pPr>
        <w:pStyle w:val="NoSpacing"/>
      </w:pPr>
    </w:p>
    <w:p w:rsidR="00A526FC" w:rsidP="00A526FC" w:rsidRDefault="00A526FC" w14:paraId="2A01F3B0" w14:textId="77777777">
      <w:pPr>
        <w:pStyle w:val="NoSpacing"/>
      </w:pPr>
    </w:p>
    <w:p w:rsidR="003010AF" w:rsidP="003010AF" w:rsidRDefault="003010AF" w14:paraId="7D7DB78B" w14:textId="72C06F54">
      <w:pPr>
        <w:pStyle w:val="Heading1"/>
        <w:rPr>
          <w:b/>
          <w:bCs/>
          <w:color w:val="FFC000"/>
        </w:rPr>
      </w:pPr>
      <w:bookmarkStart w:name="_Toc188805625" w:id="2"/>
      <w:r>
        <w:rPr>
          <w:b/>
          <w:bCs/>
          <w:color w:val="FFC000"/>
        </w:rPr>
        <w:lastRenderedPageBreak/>
        <w:t>O</w:t>
      </w:r>
      <w:r w:rsidR="006B07B5">
        <w:rPr>
          <w:b/>
          <w:bCs/>
          <w:color w:val="FFC000"/>
        </w:rPr>
        <w:t xml:space="preserve">ur UK </w:t>
      </w:r>
      <w:r>
        <w:rPr>
          <w:b/>
          <w:bCs/>
          <w:color w:val="FFC000"/>
        </w:rPr>
        <w:t>G</w:t>
      </w:r>
      <w:r w:rsidRPr="00EE531C">
        <w:rPr>
          <w:b/>
          <w:bCs/>
          <w:color w:val="FFC000"/>
        </w:rPr>
        <w:t xml:space="preserve">ender </w:t>
      </w:r>
      <w:r>
        <w:rPr>
          <w:b/>
          <w:bCs/>
          <w:color w:val="FFC000"/>
        </w:rPr>
        <w:t>P</w:t>
      </w:r>
      <w:r w:rsidRPr="00EE531C">
        <w:rPr>
          <w:b/>
          <w:bCs/>
          <w:color w:val="FFC000"/>
        </w:rPr>
        <w:t xml:space="preserve">ay </w:t>
      </w:r>
      <w:r w:rsidR="006B07B5">
        <w:rPr>
          <w:b/>
          <w:bCs/>
          <w:color w:val="FFC000"/>
        </w:rPr>
        <w:t>Data</w:t>
      </w:r>
      <w:bookmarkEnd w:id="2"/>
    </w:p>
    <w:p w:rsidRPr="006B07B5" w:rsidR="00A526FC" w:rsidP="00A526FC" w:rsidRDefault="00A526FC" w14:paraId="2A48C9C4" w14:textId="77777777">
      <w:pPr>
        <w:pStyle w:val="NoSpacing"/>
        <w:rPr>
          <w:b/>
          <w:bCs/>
        </w:rPr>
      </w:pPr>
    </w:p>
    <w:p w:rsidR="007D2AC0" w:rsidP="00A526FC" w:rsidRDefault="007D2AC0" w14:paraId="3D38EDEF" w14:textId="77777777">
      <w:pPr>
        <w:pStyle w:val="NoSpacing"/>
        <w:rPr>
          <w:b/>
          <w:bCs/>
        </w:rPr>
      </w:pPr>
    </w:p>
    <w:p w:rsidR="006B07B5" w:rsidP="00A526FC" w:rsidRDefault="006B07B5" w14:paraId="3C82A100" w14:textId="4961117E">
      <w:pPr>
        <w:pStyle w:val="NoSpacing"/>
      </w:pPr>
      <w:r w:rsidRPr="006B07B5">
        <w:rPr>
          <w:b/>
          <w:bCs/>
        </w:rPr>
        <w:t>The factors affecting our 202</w:t>
      </w:r>
      <w:r w:rsidR="00C60699">
        <w:rPr>
          <w:b/>
          <w:bCs/>
        </w:rPr>
        <w:t>4</w:t>
      </w:r>
      <w:r w:rsidRPr="006B07B5">
        <w:rPr>
          <w:b/>
          <w:bCs/>
        </w:rPr>
        <w:t xml:space="preserve"> gender pay gaps </w:t>
      </w:r>
    </w:p>
    <w:p w:rsidR="006B07B5" w:rsidP="00A526FC" w:rsidRDefault="006B07B5" w14:paraId="6A5E5D8F" w14:textId="77777777">
      <w:pPr>
        <w:pStyle w:val="NoSpacing"/>
      </w:pPr>
    </w:p>
    <w:p w:rsidR="006B07B5" w:rsidP="006B07B5" w:rsidRDefault="006B07B5" w14:paraId="6933AB49" w14:textId="77777777">
      <w:pPr>
        <w:pStyle w:val="NoSpacing"/>
        <w:jc w:val="both"/>
      </w:pPr>
      <w:r>
        <w:t xml:space="preserve">Birmingham Children’s Trust has clear, externally benchmarked salary ranges in place for all job roles. This ensures that everyone is paid fairly for undertaking the same or a similar role. </w:t>
      </w:r>
    </w:p>
    <w:p w:rsidR="006B07B5" w:rsidP="006B07B5" w:rsidRDefault="006B07B5" w14:paraId="53006CC0" w14:textId="77777777">
      <w:pPr>
        <w:pStyle w:val="NoSpacing"/>
        <w:jc w:val="both"/>
      </w:pPr>
    </w:p>
    <w:p w:rsidR="00EB3AE3" w:rsidP="006B07B5" w:rsidRDefault="006B07B5" w14:paraId="2C450902" w14:textId="77777777">
      <w:pPr>
        <w:pStyle w:val="NoSpacing"/>
        <w:jc w:val="both"/>
      </w:pPr>
      <w:r>
        <w:t xml:space="preserve">The gender </w:t>
      </w:r>
      <w:proofErr w:type="gramStart"/>
      <w:r>
        <w:t>pay</w:t>
      </w:r>
      <w:proofErr w:type="gramEnd"/>
      <w:r>
        <w:t xml:space="preserve"> gap looks at the distribution of men and women across all job levels of the organisation and identifies how this translates into the average salary and bonus payments made as a result. </w:t>
      </w:r>
    </w:p>
    <w:p w:rsidR="00EB3AE3" w:rsidP="006B07B5" w:rsidRDefault="00EB3AE3" w14:paraId="509D8B6B" w14:textId="77777777">
      <w:pPr>
        <w:pStyle w:val="NoSpacing"/>
        <w:jc w:val="both"/>
      </w:pPr>
    </w:p>
    <w:p w:rsidR="00A526FC" w:rsidP="006B07B5" w:rsidRDefault="006B07B5" w14:paraId="7F01C9DD" w14:textId="66EA9DEE">
      <w:pPr>
        <w:pStyle w:val="NoSpacing"/>
        <w:jc w:val="both"/>
      </w:pPr>
      <w:r>
        <w:t xml:space="preserve">Specialist skillsets command very different salaries, so the potential for significant differences in salary in a knowledge-based organisation like ours is high. </w:t>
      </w:r>
      <w:r w:rsidRPr="008F79BC">
        <w:t xml:space="preserve">And, with </w:t>
      </w:r>
      <w:r w:rsidRPr="008F79BC" w:rsidR="006437C5">
        <w:t>8</w:t>
      </w:r>
      <w:r w:rsidRPr="008F79BC" w:rsidR="00F67459">
        <w:t>1</w:t>
      </w:r>
      <w:r w:rsidRPr="008F79BC" w:rsidR="008F79BC">
        <w:t>.7</w:t>
      </w:r>
      <w:r w:rsidRPr="008F79BC" w:rsidR="006437C5">
        <w:t>%</w:t>
      </w:r>
      <w:r w:rsidRPr="008F79BC">
        <w:t xml:space="preserve"> women and </w:t>
      </w:r>
      <w:r w:rsidRPr="008F79BC" w:rsidR="008B2245">
        <w:t>1</w:t>
      </w:r>
      <w:r w:rsidRPr="008F79BC" w:rsidR="00E41BA0">
        <w:t>8.3</w:t>
      </w:r>
      <w:r w:rsidRPr="008F79BC" w:rsidR="008B2245">
        <w:t>%</w:t>
      </w:r>
      <w:r w:rsidRPr="008F79BC">
        <w:t xml:space="preserve"> men,</w:t>
      </w:r>
      <w:r>
        <w:t xml:space="preserve"> relatively small changes in the distribution of men across the different pay quartiles in the organisation can have a significant impact on our gender pay gap</w:t>
      </w:r>
      <w:r w:rsidR="008E2D93">
        <w:t>.</w:t>
      </w:r>
    </w:p>
    <w:p w:rsidR="00F41363" w:rsidP="006B07B5" w:rsidRDefault="00F41363" w14:paraId="004A3217" w14:textId="77777777">
      <w:pPr>
        <w:pStyle w:val="NoSpacing"/>
        <w:jc w:val="both"/>
      </w:pPr>
    </w:p>
    <w:p w:rsidR="007D2AC0" w:rsidP="006B07B5" w:rsidRDefault="007D2AC0" w14:paraId="1284AA67" w14:textId="77777777">
      <w:pPr>
        <w:pStyle w:val="NoSpacing"/>
        <w:jc w:val="both"/>
        <w:rPr>
          <w:b/>
          <w:bCs/>
        </w:rPr>
      </w:pPr>
    </w:p>
    <w:p w:rsidRPr="00F41363" w:rsidR="00F41363" w:rsidP="006B07B5" w:rsidRDefault="00F41363" w14:paraId="65631716" w14:textId="589CCD81">
      <w:pPr>
        <w:pStyle w:val="NoSpacing"/>
        <w:jc w:val="both"/>
        <w:rPr>
          <w:b/>
          <w:bCs/>
        </w:rPr>
      </w:pPr>
      <w:r w:rsidRPr="00F41363">
        <w:rPr>
          <w:b/>
          <w:bCs/>
        </w:rPr>
        <w:t xml:space="preserve">Recent factors </w:t>
      </w:r>
    </w:p>
    <w:p w:rsidR="00F41363" w:rsidP="006B07B5" w:rsidRDefault="00F41363" w14:paraId="458ECC2A" w14:textId="77777777">
      <w:pPr>
        <w:pStyle w:val="NoSpacing"/>
        <w:jc w:val="both"/>
      </w:pPr>
    </w:p>
    <w:p w:rsidR="00F41363" w:rsidP="006B07B5" w:rsidRDefault="00F41363" w14:paraId="2703956A" w14:textId="53F5852A">
      <w:pPr>
        <w:pStyle w:val="NoSpacing"/>
        <w:jc w:val="both"/>
      </w:pPr>
      <w:r>
        <w:t>Our voluntary attrition rate</w:t>
      </w:r>
      <w:r w:rsidR="009673DD">
        <w:t xml:space="preserve"> remains low and whilst</w:t>
      </w:r>
      <w:r>
        <w:t xml:space="preserve"> of course, we want to retain our talented people and do not want to see </w:t>
      </w:r>
      <w:r w:rsidR="003147A4">
        <w:t xml:space="preserve">an increase in leavers </w:t>
      </w:r>
      <w:r w:rsidR="00EC55C2">
        <w:t xml:space="preserve">as </w:t>
      </w:r>
      <w:r w:rsidR="003147A4">
        <w:t xml:space="preserve">any </w:t>
      </w:r>
      <w:r>
        <w:t xml:space="preserve">shift </w:t>
      </w:r>
      <w:r w:rsidR="003147A4">
        <w:t xml:space="preserve">will </w:t>
      </w:r>
      <w:r>
        <w:t>play</w:t>
      </w:r>
      <w:r w:rsidR="003147A4">
        <w:t xml:space="preserve"> </w:t>
      </w:r>
      <w:r>
        <w:t>a part in our pay gaps</w:t>
      </w:r>
      <w:r w:rsidR="00DF5523">
        <w:t xml:space="preserve">. This is </w:t>
      </w:r>
      <w:r>
        <w:t xml:space="preserve">because the salaries of the women who have joined us are </w:t>
      </w:r>
      <w:r w:rsidR="002E3AE7">
        <w:t xml:space="preserve">likely to be </w:t>
      </w:r>
      <w:r w:rsidR="00D365FD">
        <w:t>lowe</w:t>
      </w:r>
      <w:r>
        <w:t>r than those who have left</w:t>
      </w:r>
      <w:r w:rsidR="002E3AE7">
        <w:t>.</w:t>
      </w:r>
    </w:p>
    <w:p w:rsidR="004A6898" w:rsidP="006B07B5" w:rsidRDefault="004A6898" w14:paraId="6F5EEA7A" w14:textId="77777777">
      <w:pPr>
        <w:pStyle w:val="NoSpacing"/>
        <w:jc w:val="both"/>
      </w:pPr>
    </w:p>
    <w:p w:rsidR="007D2AC0" w:rsidP="006B07B5" w:rsidRDefault="007D2AC0" w14:paraId="74FF0143" w14:textId="77777777">
      <w:pPr>
        <w:pStyle w:val="NoSpacing"/>
        <w:jc w:val="both"/>
        <w:rPr>
          <w:b/>
          <w:bCs/>
        </w:rPr>
      </w:pPr>
    </w:p>
    <w:p w:rsidRPr="004A6898" w:rsidR="004A6898" w:rsidP="006B07B5" w:rsidRDefault="004A6898" w14:paraId="74C50F66" w14:textId="0689F169">
      <w:pPr>
        <w:pStyle w:val="NoSpacing"/>
        <w:jc w:val="both"/>
        <w:rPr>
          <w:b/>
          <w:bCs/>
        </w:rPr>
      </w:pPr>
      <w:r w:rsidRPr="004A6898">
        <w:rPr>
          <w:b/>
          <w:bCs/>
        </w:rPr>
        <w:t xml:space="preserve">Tracking our progress </w:t>
      </w:r>
    </w:p>
    <w:p w:rsidR="004A6898" w:rsidP="006B07B5" w:rsidRDefault="004A6898" w14:paraId="7F672B1B" w14:textId="77777777">
      <w:pPr>
        <w:pStyle w:val="NoSpacing"/>
        <w:jc w:val="both"/>
      </w:pPr>
    </w:p>
    <w:p w:rsidR="00DD310F" w:rsidP="006B07B5" w:rsidRDefault="004A6898" w14:paraId="2BE7CC35" w14:textId="53B0AAF7">
      <w:pPr>
        <w:pStyle w:val="NoSpacing"/>
        <w:jc w:val="both"/>
      </w:pPr>
      <w:r>
        <w:t xml:space="preserve">We are proud of the opportunities we give to everyone across our organisation, </w:t>
      </w:r>
      <w:r w:rsidR="00E83373">
        <w:t>our</w:t>
      </w:r>
      <w:r>
        <w:t xml:space="preserve"> flexible working culture</w:t>
      </w:r>
      <w:r w:rsidR="00E83373">
        <w:t xml:space="preserve"> supports our employees whilst </w:t>
      </w:r>
      <w:r>
        <w:t>focus</w:t>
      </w:r>
      <w:r w:rsidR="00E83373">
        <w:t>ing</w:t>
      </w:r>
      <w:r>
        <w:t xml:space="preserve"> on inclusion and fairness</w:t>
      </w:r>
      <w:r w:rsidR="00E83373">
        <w:t xml:space="preserve"> with </w:t>
      </w:r>
      <w:r w:rsidRPr="000942E2" w:rsidR="003B77AC">
        <w:t>1</w:t>
      </w:r>
      <w:r w:rsidRPr="000942E2" w:rsidR="00EB37E3">
        <w:t>5.</w:t>
      </w:r>
      <w:r w:rsidRPr="000942E2" w:rsidR="000942E2">
        <w:t>86</w:t>
      </w:r>
      <w:r w:rsidRPr="000942E2" w:rsidR="003B77AC">
        <w:t>% of</w:t>
      </w:r>
      <w:r w:rsidR="003B77AC">
        <w:t xml:space="preserve"> our workforce working part-time.</w:t>
      </w:r>
    </w:p>
    <w:p w:rsidR="00DD310F" w:rsidP="006B07B5" w:rsidRDefault="00DD310F" w14:paraId="530E3B69" w14:textId="77777777">
      <w:pPr>
        <w:pStyle w:val="NoSpacing"/>
        <w:jc w:val="both"/>
      </w:pPr>
    </w:p>
    <w:p w:rsidR="004742C1" w:rsidP="006B07B5" w:rsidRDefault="004A6898" w14:paraId="455EB5F4" w14:textId="0BCB5FD6">
      <w:pPr>
        <w:pStyle w:val="NoSpacing"/>
        <w:jc w:val="both"/>
      </w:pPr>
      <w:r>
        <w:t>We are</w:t>
      </w:r>
      <w:r w:rsidR="00F370A4">
        <w:t xml:space="preserve"> continuing to </w:t>
      </w:r>
      <w:r>
        <w:t xml:space="preserve">work on areas of policy and practice, such as maternity and paternity leave, </w:t>
      </w:r>
      <w:r w:rsidR="000C43E2">
        <w:t xml:space="preserve">these </w:t>
      </w:r>
      <w:r>
        <w:t xml:space="preserve">are focused on enabling new parents to take equal responsibility for childcare commitments. It will take time, but this will help address the current imbalance that occurs when more women than men work flexibly to fulfil family responsibilities. </w:t>
      </w:r>
    </w:p>
    <w:p w:rsidR="004742C1" w:rsidP="006B07B5" w:rsidRDefault="004742C1" w14:paraId="3F1C873F" w14:textId="77777777">
      <w:pPr>
        <w:pStyle w:val="NoSpacing"/>
        <w:jc w:val="both"/>
      </w:pPr>
    </w:p>
    <w:p w:rsidR="004A6898" w:rsidP="006B07B5" w:rsidRDefault="004A6898" w14:paraId="32C0DC16" w14:textId="3939C157">
      <w:pPr>
        <w:pStyle w:val="NoSpacing"/>
        <w:jc w:val="both"/>
      </w:pPr>
      <w:r>
        <w:t>We are proud that many of our senior roles are</w:t>
      </w:r>
      <w:r w:rsidR="00BA30FD">
        <w:t xml:space="preserve"> undertaken by women and </w:t>
      </w:r>
      <w:r w:rsidR="0077630D">
        <w:t xml:space="preserve">are </w:t>
      </w:r>
      <w:r>
        <w:t>already carried out on a flexible basis. We</w:t>
      </w:r>
      <w:r w:rsidR="0077630D">
        <w:t xml:space="preserve"> a</w:t>
      </w:r>
      <w:r>
        <w:t>re working hard to ensure</w:t>
      </w:r>
      <w:r w:rsidR="006477AB">
        <w:t xml:space="preserve"> that</w:t>
      </w:r>
      <w:r>
        <w:t xml:space="preserve"> our practices encourage everyone to have the option to work flexibly, in a way that suits them, so they can deliver their best work</w:t>
      </w:r>
      <w:r w:rsidR="0077630D">
        <w:t>.</w:t>
      </w:r>
    </w:p>
    <w:p w:rsidR="00A526FC" w:rsidP="00A526FC" w:rsidRDefault="00A526FC" w14:paraId="553157F2" w14:textId="77777777">
      <w:pPr>
        <w:pStyle w:val="NoSpacing"/>
      </w:pPr>
    </w:p>
    <w:p w:rsidR="00A526FC" w:rsidP="00A526FC" w:rsidRDefault="00A526FC" w14:paraId="011F4318" w14:textId="77777777">
      <w:pPr>
        <w:pStyle w:val="NoSpacing"/>
      </w:pPr>
    </w:p>
    <w:p w:rsidR="00A526FC" w:rsidP="00A526FC" w:rsidRDefault="00A526FC" w14:paraId="4C8A1B03" w14:textId="77777777">
      <w:pPr>
        <w:pStyle w:val="NoSpacing"/>
      </w:pPr>
    </w:p>
    <w:p w:rsidR="00A526FC" w:rsidP="00A526FC" w:rsidRDefault="00A526FC" w14:paraId="1BEED822" w14:textId="77777777">
      <w:pPr>
        <w:pStyle w:val="NoSpacing"/>
      </w:pPr>
    </w:p>
    <w:p w:rsidR="00A526FC" w:rsidP="00A526FC" w:rsidRDefault="00A526FC" w14:paraId="03F548F7" w14:textId="77777777">
      <w:pPr>
        <w:pStyle w:val="NoSpacing"/>
      </w:pPr>
    </w:p>
    <w:p w:rsidR="00A526FC" w:rsidP="00A526FC" w:rsidRDefault="00A526FC" w14:paraId="440F2854" w14:textId="77777777">
      <w:pPr>
        <w:pStyle w:val="NoSpacing"/>
      </w:pPr>
    </w:p>
    <w:p w:rsidR="00A526FC" w:rsidP="00A526FC" w:rsidRDefault="00A526FC" w14:paraId="2FE2A9B3" w14:textId="77777777">
      <w:pPr>
        <w:pStyle w:val="NoSpacing"/>
      </w:pPr>
    </w:p>
    <w:p w:rsidR="00091434" w:rsidP="00A526FC" w:rsidRDefault="00091434" w14:paraId="1AFFB1B5" w14:textId="77777777">
      <w:pPr>
        <w:pStyle w:val="NoSpacing"/>
      </w:pPr>
    </w:p>
    <w:p w:rsidR="00A526FC" w:rsidP="00A526FC" w:rsidRDefault="00A526FC" w14:paraId="7CE6C732" w14:textId="77777777">
      <w:pPr>
        <w:pStyle w:val="NoSpacing"/>
      </w:pPr>
    </w:p>
    <w:p w:rsidR="00A526FC" w:rsidP="00A526FC" w:rsidRDefault="00A526FC" w14:paraId="3E2B0AEA" w14:textId="77777777">
      <w:pPr>
        <w:pStyle w:val="NoSpacing"/>
      </w:pPr>
    </w:p>
    <w:p w:rsidR="00A526FC" w:rsidP="00A526FC" w:rsidRDefault="00A526FC" w14:paraId="22228DAA" w14:textId="77777777">
      <w:pPr>
        <w:pStyle w:val="NoSpacing"/>
      </w:pPr>
    </w:p>
    <w:p w:rsidR="00A526FC" w:rsidP="00A526FC" w:rsidRDefault="00A526FC" w14:paraId="2800B942" w14:textId="77777777">
      <w:pPr>
        <w:pStyle w:val="NoSpacing"/>
      </w:pPr>
    </w:p>
    <w:p w:rsidR="00A526FC" w:rsidP="00A526FC" w:rsidRDefault="00A526FC" w14:paraId="4A1ED38C" w14:textId="77777777">
      <w:pPr>
        <w:pStyle w:val="NoSpacing"/>
      </w:pPr>
    </w:p>
    <w:p w:rsidR="00A526FC" w:rsidP="00A526FC" w:rsidRDefault="00A526FC" w14:paraId="119C8517" w14:textId="77777777">
      <w:pPr>
        <w:pStyle w:val="NoSpacing"/>
      </w:pPr>
    </w:p>
    <w:p w:rsidR="006876B0" w:rsidP="00A526FC" w:rsidRDefault="006876B0" w14:paraId="4D0141AA" w14:textId="77777777">
      <w:pPr>
        <w:pStyle w:val="NoSpacing"/>
      </w:pPr>
    </w:p>
    <w:p w:rsidR="00A526FC" w:rsidP="00A526FC" w:rsidRDefault="00A526FC" w14:paraId="29353079" w14:textId="0952EAAA">
      <w:pPr>
        <w:pStyle w:val="NoSpacing"/>
      </w:pPr>
      <w:r>
        <w:rPr>
          <w:noProof/>
        </w:rPr>
        <w:drawing>
          <wp:anchor distT="0" distB="0" distL="114300" distR="114300" simplePos="0" relativeHeight="251659264" behindDoc="1" locked="0" layoutInCell="1" allowOverlap="1" wp14:anchorId="0BC99C60" wp14:editId="6F42EB39">
            <wp:simplePos x="0" y="0"/>
            <wp:positionH relativeFrom="column">
              <wp:posOffset>3759200</wp:posOffset>
            </wp:positionH>
            <wp:positionV relativeFrom="paragraph">
              <wp:posOffset>-514350</wp:posOffset>
            </wp:positionV>
            <wp:extent cx="2482850" cy="590550"/>
            <wp:effectExtent l="0" t="0" r="0" b="0"/>
            <wp:wrapNone/>
            <wp:docPr id="112230302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03029" name="Picture 1" descr="A black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82850" cy="590550"/>
                    </a:xfrm>
                    <a:prstGeom prst="rect">
                      <a:avLst/>
                    </a:prstGeom>
                  </pic:spPr>
                </pic:pic>
              </a:graphicData>
            </a:graphic>
            <wp14:sizeRelH relativeFrom="page">
              <wp14:pctWidth>0</wp14:pctWidth>
            </wp14:sizeRelH>
            <wp14:sizeRelV relativeFrom="page">
              <wp14:pctHeight>0</wp14:pctHeight>
            </wp14:sizeRelV>
          </wp:anchor>
        </w:drawing>
      </w:r>
    </w:p>
    <w:p w:rsidR="006876B0" w:rsidP="00A526FC" w:rsidRDefault="006876B0" w14:paraId="0D0FB017" w14:textId="77777777">
      <w:pPr>
        <w:pStyle w:val="NoSpacing"/>
        <w:rPr>
          <w:b/>
          <w:bCs/>
          <w:sz w:val="32"/>
          <w:szCs w:val="32"/>
        </w:rPr>
      </w:pPr>
    </w:p>
    <w:p w:rsidR="00A526FC" w:rsidP="00A526FC" w:rsidRDefault="00A526FC" w14:paraId="78915BE8" w14:textId="0D7061B8">
      <w:pPr>
        <w:pStyle w:val="NoSpacing"/>
        <w:rPr>
          <w:b/>
          <w:bCs/>
          <w:sz w:val="32"/>
          <w:szCs w:val="32"/>
        </w:rPr>
      </w:pPr>
      <w:r w:rsidRPr="00311B92">
        <w:rPr>
          <w:b/>
          <w:bCs/>
          <w:sz w:val="32"/>
          <w:szCs w:val="32"/>
        </w:rPr>
        <w:t>Gender Pay Gap Data</w:t>
      </w:r>
      <w:r>
        <w:rPr>
          <w:b/>
          <w:bCs/>
          <w:sz w:val="32"/>
          <w:szCs w:val="32"/>
        </w:rPr>
        <w:t xml:space="preserve"> 202</w:t>
      </w:r>
      <w:r w:rsidR="00971AA4">
        <w:rPr>
          <w:b/>
          <w:bCs/>
          <w:sz w:val="32"/>
          <w:szCs w:val="32"/>
        </w:rPr>
        <w:t>4</w:t>
      </w:r>
    </w:p>
    <w:p w:rsidR="00A526FC" w:rsidP="00A526FC" w:rsidRDefault="00A526FC" w14:paraId="7B7FDE32" w14:textId="59EE9051">
      <w:pPr>
        <w:pStyle w:val="NoSpacing"/>
        <w:rPr>
          <w:b/>
          <w:bCs/>
          <w:color w:val="FFC000"/>
          <w:sz w:val="32"/>
          <w:szCs w:val="32"/>
        </w:rPr>
      </w:pPr>
      <w:r w:rsidRPr="00311B92">
        <w:rPr>
          <w:b/>
          <w:bCs/>
          <w:color w:val="FFC000"/>
          <w:sz w:val="32"/>
          <w:szCs w:val="32"/>
        </w:rPr>
        <w:t>Snapshot Date 31 December 202</w:t>
      </w:r>
      <w:r w:rsidR="00971AA4">
        <w:rPr>
          <w:b/>
          <w:bCs/>
          <w:color w:val="FFC000"/>
          <w:sz w:val="32"/>
          <w:szCs w:val="32"/>
        </w:rPr>
        <w:t>4</w:t>
      </w:r>
    </w:p>
    <w:p w:rsidR="00A526FC" w:rsidP="00A526FC" w:rsidRDefault="00A526FC" w14:paraId="737C1B5F" w14:textId="77777777">
      <w:pPr>
        <w:pStyle w:val="NoSpacing"/>
        <w:rPr>
          <w:b/>
          <w:bCs/>
          <w:color w:val="FFC000"/>
          <w:sz w:val="32"/>
          <w:szCs w:val="32"/>
        </w:rPr>
      </w:pPr>
    </w:p>
    <w:p w:rsidRPr="000A7E44" w:rsidR="00A526FC" w:rsidP="00A526FC" w:rsidRDefault="00A526FC" w14:paraId="7B330B69" w14:textId="77777777">
      <w:pPr>
        <w:pStyle w:val="NoSpacing"/>
        <w:rPr>
          <w:b/>
          <w:bCs/>
        </w:rPr>
      </w:pPr>
      <w:r w:rsidRPr="000A7E44">
        <w:rPr>
          <w:b/>
          <w:bCs/>
        </w:rPr>
        <w:t>Percentage of men and women in each hourly pay quarter</w:t>
      </w:r>
    </w:p>
    <w:p w:rsidR="00A526FC" w:rsidP="00A526FC" w:rsidRDefault="00A526FC" w14:paraId="7049BDBE" w14:textId="77777777">
      <w:pPr>
        <w:pStyle w:val="NoSpacing"/>
      </w:pPr>
    </w:p>
    <w:tbl>
      <w:tblPr>
        <w:tblStyle w:val="Style1"/>
        <w:tblW w:w="0" w:type="auto"/>
        <w:tblLook w:val="04A0" w:firstRow="1" w:lastRow="0" w:firstColumn="1" w:lastColumn="0" w:noHBand="0" w:noVBand="1"/>
      </w:tblPr>
      <w:tblGrid>
        <w:gridCol w:w="6516"/>
        <w:gridCol w:w="1276"/>
        <w:gridCol w:w="1224"/>
      </w:tblGrid>
      <w:tr w:rsidR="00A526FC" w:rsidTr="338C16F4" w14:paraId="2C34B743" w14:textId="77777777">
        <w:tc>
          <w:tcPr>
            <w:tcW w:w="6516" w:type="dxa"/>
            <w:tcMar/>
          </w:tcPr>
          <w:p w:rsidR="00A526FC" w:rsidP="00141005" w:rsidRDefault="00A526FC" w14:paraId="580112F0" w14:textId="77777777">
            <w:pPr>
              <w:pStyle w:val="NoSpacing"/>
              <w:rPr>
                <w:b/>
                <w:bCs/>
                <w:sz w:val="32"/>
                <w:szCs w:val="32"/>
              </w:rPr>
            </w:pPr>
          </w:p>
        </w:tc>
        <w:tc>
          <w:tcPr>
            <w:tcW w:w="1276" w:type="dxa"/>
            <w:tcMar/>
          </w:tcPr>
          <w:p w:rsidRPr="00593070" w:rsidR="00A526FC" w:rsidP="00141005" w:rsidRDefault="00A526FC" w14:paraId="3C407733" w14:textId="77777777">
            <w:pPr>
              <w:pStyle w:val="NoSpacing"/>
              <w:jc w:val="center"/>
              <w:rPr>
                <w:b/>
                <w:bCs/>
              </w:rPr>
            </w:pPr>
            <w:r w:rsidRPr="00593070">
              <w:rPr>
                <w:b/>
                <w:bCs/>
              </w:rPr>
              <w:t>Men</w:t>
            </w:r>
          </w:p>
        </w:tc>
        <w:tc>
          <w:tcPr>
            <w:tcW w:w="1224" w:type="dxa"/>
            <w:tcMar/>
          </w:tcPr>
          <w:p w:rsidRPr="00593070" w:rsidR="00A526FC" w:rsidP="00141005" w:rsidRDefault="00A526FC" w14:paraId="1029BC97" w14:textId="77777777">
            <w:pPr>
              <w:pStyle w:val="NoSpacing"/>
              <w:jc w:val="center"/>
              <w:rPr>
                <w:b/>
                <w:bCs/>
              </w:rPr>
            </w:pPr>
            <w:r w:rsidRPr="00593070">
              <w:rPr>
                <w:b/>
                <w:bCs/>
              </w:rPr>
              <w:t>Women</w:t>
            </w:r>
          </w:p>
        </w:tc>
      </w:tr>
      <w:tr w:rsidRPr="000942E2" w:rsidR="00A526FC" w:rsidTr="338C16F4" w14:paraId="7D31B5F2" w14:textId="77777777">
        <w:trPr>
          <w:trHeight w:val="375"/>
        </w:trPr>
        <w:tc>
          <w:tcPr>
            <w:tcW w:w="6516" w:type="dxa"/>
            <w:tcMar/>
          </w:tcPr>
          <w:p w:rsidRPr="00503E5F" w:rsidR="00A526FC" w:rsidP="00141005" w:rsidRDefault="00A526FC" w14:paraId="7D6746F9" w14:textId="77777777">
            <w:pPr>
              <w:pStyle w:val="NoSpacing"/>
              <w:rPr>
                <w:b/>
                <w:bCs/>
                <w:sz w:val="32"/>
                <w:szCs w:val="32"/>
              </w:rPr>
            </w:pPr>
            <w:r w:rsidRPr="00503E5F">
              <w:t xml:space="preserve">Upper hourly pay quarter </w:t>
            </w:r>
          </w:p>
        </w:tc>
        <w:tc>
          <w:tcPr>
            <w:tcW w:w="1276" w:type="dxa"/>
            <w:tcMar/>
          </w:tcPr>
          <w:p w:rsidRPr="00503E5F" w:rsidR="00A526FC" w:rsidP="00141005" w:rsidRDefault="003C429A" w14:paraId="7E1AC327" w14:textId="3FB6F3B4">
            <w:pPr>
              <w:pStyle w:val="NoSpacing"/>
              <w:jc w:val="center"/>
            </w:pPr>
            <w:r w:rsidR="236D25CA">
              <w:rPr/>
              <w:t>17.4</w:t>
            </w:r>
            <w:r w:rsidR="00A526FC">
              <w:rPr/>
              <w:t>%</w:t>
            </w:r>
          </w:p>
        </w:tc>
        <w:tc>
          <w:tcPr>
            <w:tcW w:w="1224" w:type="dxa"/>
            <w:tcMar/>
          </w:tcPr>
          <w:p w:rsidRPr="00503E5F" w:rsidR="00A526FC" w:rsidP="00141005" w:rsidRDefault="003C429A" w14:paraId="63BDA361" w14:textId="5B1EDA46">
            <w:pPr>
              <w:pStyle w:val="NoSpacing"/>
              <w:jc w:val="center"/>
            </w:pPr>
            <w:r w:rsidR="1EF70692">
              <w:rPr/>
              <w:t>82.6</w:t>
            </w:r>
            <w:r w:rsidR="00A526FC">
              <w:rPr/>
              <w:t>%</w:t>
            </w:r>
          </w:p>
        </w:tc>
      </w:tr>
      <w:tr w:rsidRPr="000942E2" w:rsidR="00A526FC" w:rsidTr="338C16F4" w14:paraId="7599CDF1" w14:textId="77777777">
        <w:trPr>
          <w:trHeight w:val="408"/>
        </w:trPr>
        <w:tc>
          <w:tcPr>
            <w:tcW w:w="6516" w:type="dxa"/>
            <w:tcMar/>
          </w:tcPr>
          <w:p w:rsidRPr="00503E5F" w:rsidR="00A526FC" w:rsidP="00141005" w:rsidRDefault="00A526FC" w14:paraId="771E12D3" w14:textId="77777777">
            <w:pPr>
              <w:pStyle w:val="NoSpacing"/>
              <w:rPr>
                <w:b/>
                <w:bCs/>
                <w:sz w:val="32"/>
                <w:szCs w:val="32"/>
              </w:rPr>
            </w:pPr>
            <w:r w:rsidRPr="00503E5F">
              <w:t xml:space="preserve">Upper middle hourly pay quarter </w:t>
            </w:r>
          </w:p>
        </w:tc>
        <w:tc>
          <w:tcPr>
            <w:tcW w:w="1276" w:type="dxa"/>
            <w:tcMar/>
          </w:tcPr>
          <w:p w:rsidRPr="00503E5F" w:rsidR="00A526FC" w:rsidP="00141005" w:rsidRDefault="0060726F" w14:paraId="57C52A0D" w14:textId="5457E7F5">
            <w:pPr>
              <w:pStyle w:val="NoSpacing"/>
              <w:jc w:val="center"/>
            </w:pPr>
            <w:r w:rsidR="685588CB">
              <w:rPr/>
              <w:t>17.8</w:t>
            </w:r>
            <w:r w:rsidR="00A526FC">
              <w:rPr/>
              <w:t>%</w:t>
            </w:r>
          </w:p>
        </w:tc>
        <w:tc>
          <w:tcPr>
            <w:tcW w:w="1224" w:type="dxa"/>
            <w:tcMar/>
          </w:tcPr>
          <w:p w:rsidRPr="00503E5F" w:rsidR="00A526FC" w:rsidP="00141005" w:rsidRDefault="0060726F" w14:paraId="41EB293D" w14:textId="40F0E576">
            <w:pPr>
              <w:pStyle w:val="NoSpacing"/>
              <w:jc w:val="center"/>
            </w:pPr>
            <w:r w:rsidR="5AAA1CDC">
              <w:rPr/>
              <w:t>82.2</w:t>
            </w:r>
            <w:r w:rsidR="0060726F">
              <w:rPr/>
              <w:t>%</w:t>
            </w:r>
          </w:p>
        </w:tc>
      </w:tr>
      <w:tr w:rsidRPr="000942E2" w:rsidR="00A526FC" w:rsidTr="338C16F4" w14:paraId="1505A4E7" w14:textId="77777777">
        <w:trPr>
          <w:trHeight w:val="429"/>
        </w:trPr>
        <w:tc>
          <w:tcPr>
            <w:tcW w:w="6516" w:type="dxa"/>
            <w:tcMar/>
          </w:tcPr>
          <w:p w:rsidRPr="00503E5F" w:rsidR="00A526FC" w:rsidP="00141005" w:rsidRDefault="00A526FC" w14:paraId="287E8D04" w14:textId="77777777">
            <w:pPr>
              <w:pStyle w:val="NoSpacing"/>
              <w:rPr>
                <w:b/>
                <w:bCs/>
                <w:sz w:val="32"/>
                <w:szCs w:val="32"/>
              </w:rPr>
            </w:pPr>
            <w:r w:rsidRPr="00503E5F">
              <w:t xml:space="preserve">Lower middle hourly pay quarter </w:t>
            </w:r>
          </w:p>
        </w:tc>
        <w:tc>
          <w:tcPr>
            <w:tcW w:w="1276" w:type="dxa"/>
            <w:tcMar/>
          </w:tcPr>
          <w:p w:rsidRPr="00503E5F" w:rsidR="00A526FC" w:rsidP="00141005" w:rsidRDefault="0060726F" w14:paraId="19F48CAD" w14:textId="4CC3F84B">
            <w:pPr>
              <w:pStyle w:val="NoSpacing"/>
              <w:jc w:val="center"/>
            </w:pPr>
            <w:r w:rsidR="4623950F">
              <w:rPr/>
              <w:t>18.0</w:t>
            </w:r>
            <w:r w:rsidR="00A526FC">
              <w:rPr/>
              <w:t>%</w:t>
            </w:r>
          </w:p>
        </w:tc>
        <w:tc>
          <w:tcPr>
            <w:tcW w:w="1224" w:type="dxa"/>
            <w:tcMar/>
          </w:tcPr>
          <w:p w:rsidRPr="00503E5F" w:rsidR="00A526FC" w:rsidP="00141005" w:rsidRDefault="0060726F" w14:paraId="55C5817E" w14:textId="6DF5EE1D">
            <w:pPr>
              <w:pStyle w:val="NoSpacing"/>
              <w:jc w:val="center"/>
            </w:pPr>
            <w:r w:rsidR="5E838F48">
              <w:rPr/>
              <w:t>82.0</w:t>
            </w:r>
            <w:r w:rsidR="00A526FC">
              <w:rPr/>
              <w:t>%</w:t>
            </w:r>
          </w:p>
        </w:tc>
      </w:tr>
      <w:tr w:rsidRPr="000942E2" w:rsidR="00A526FC" w:rsidTr="338C16F4" w14:paraId="63770A63" w14:textId="77777777">
        <w:trPr>
          <w:trHeight w:val="407"/>
        </w:trPr>
        <w:tc>
          <w:tcPr>
            <w:tcW w:w="6516" w:type="dxa"/>
            <w:tcMar/>
          </w:tcPr>
          <w:p w:rsidRPr="00503E5F" w:rsidR="00A526FC" w:rsidP="00141005" w:rsidRDefault="00A526FC" w14:paraId="1493FB80" w14:textId="77777777">
            <w:pPr>
              <w:pStyle w:val="NoSpacing"/>
              <w:rPr>
                <w:b/>
                <w:bCs/>
                <w:sz w:val="32"/>
                <w:szCs w:val="32"/>
              </w:rPr>
            </w:pPr>
            <w:r w:rsidRPr="00503E5F">
              <w:t>Lower hourly pay quarter</w:t>
            </w:r>
          </w:p>
        </w:tc>
        <w:tc>
          <w:tcPr>
            <w:tcW w:w="1276" w:type="dxa"/>
            <w:tcMar/>
          </w:tcPr>
          <w:p w:rsidRPr="00503E5F" w:rsidR="00A526FC" w:rsidP="00141005" w:rsidRDefault="0060726F" w14:paraId="0C241F37" w14:textId="099357D1">
            <w:pPr>
              <w:pStyle w:val="NoSpacing"/>
              <w:jc w:val="center"/>
            </w:pPr>
            <w:r w:rsidR="37858C20">
              <w:rPr/>
              <w:t>20.4</w:t>
            </w:r>
            <w:r w:rsidR="0060726F">
              <w:rPr/>
              <w:t>%</w:t>
            </w:r>
          </w:p>
        </w:tc>
        <w:tc>
          <w:tcPr>
            <w:tcW w:w="1224" w:type="dxa"/>
            <w:tcMar/>
          </w:tcPr>
          <w:p w:rsidRPr="00503E5F" w:rsidR="00A526FC" w:rsidP="00141005" w:rsidRDefault="0060726F" w14:paraId="60CE3FEB" w14:textId="42E85B18">
            <w:pPr>
              <w:pStyle w:val="NoSpacing"/>
              <w:jc w:val="center"/>
            </w:pPr>
            <w:r w:rsidR="4AAB7553">
              <w:rPr/>
              <w:t>79.6</w:t>
            </w:r>
            <w:r w:rsidR="00A526FC">
              <w:rPr/>
              <w:t>%</w:t>
            </w:r>
          </w:p>
        </w:tc>
      </w:tr>
    </w:tbl>
    <w:p w:rsidRPr="000942E2" w:rsidR="00A526FC" w:rsidP="00A526FC" w:rsidRDefault="00A526FC" w14:paraId="68D66702" w14:textId="77777777">
      <w:pPr>
        <w:pStyle w:val="NoSpacing"/>
        <w:rPr>
          <w:b/>
          <w:bCs/>
          <w:sz w:val="32"/>
          <w:szCs w:val="32"/>
          <w:highlight w:val="yellow"/>
        </w:rPr>
      </w:pPr>
    </w:p>
    <w:p w:rsidRPr="002537FE" w:rsidR="00A526FC" w:rsidP="00A526FC" w:rsidRDefault="00A526FC" w14:paraId="043A98EA" w14:textId="77777777">
      <w:pPr>
        <w:pStyle w:val="NoSpacing"/>
        <w:rPr>
          <w:b/>
          <w:bCs/>
        </w:rPr>
      </w:pPr>
      <w:r w:rsidRPr="002537FE">
        <w:rPr>
          <w:b/>
          <w:bCs/>
        </w:rPr>
        <w:t>Mean and median gender pay gap using hourly pay</w:t>
      </w:r>
    </w:p>
    <w:p w:rsidRPr="002537FE" w:rsidR="00A526FC" w:rsidP="00A526FC" w:rsidRDefault="00A526FC" w14:paraId="5708ECAC" w14:textId="77777777">
      <w:pPr>
        <w:pStyle w:val="NoSpacing"/>
        <w:rPr>
          <w:b/>
          <w:bCs/>
        </w:rPr>
      </w:pPr>
    </w:p>
    <w:tbl>
      <w:tblPr>
        <w:tblStyle w:val="Style1"/>
        <w:tblW w:w="0" w:type="auto"/>
        <w:tblLook w:val="04A0" w:firstRow="1" w:lastRow="0" w:firstColumn="1" w:lastColumn="0" w:noHBand="0" w:noVBand="1"/>
      </w:tblPr>
      <w:tblGrid>
        <w:gridCol w:w="7938"/>
        <w:gridCol w:w="993"/>
      </w:tblGrid>
      <w:tr w:rsidRPr="002537FE" w:rsidR="00A526FC" w:rsidTr="00141005" w14:paraId="40E8EF3D" w14:textId="77777777">
        <w:trPr>
          <w:trHeight w:val="401"/>
        </w:trPr>
        <w:tc>
          <w:tcPr>
            <w:tcW w:w="7938" w:type="dxa"/>
          </w:tcPr>
          <w:p w:rsidRPr="002537FE" w:rsidR="00A526FC" w:rsidP="00141005" w:rsidRDefault="00A526FC" w14:paraId="0C6C6E03" w14:textId="77777777">
            <w:pPr>
              <w:pStyle w:val="NoSpacing"/>
              <w:rPr>
                <w:b/>
                <w:bCs/>
                <w:sz w:val="32"/>
                <w:szCs w:val="32"/>
              </w:rPr>
            </w:pPr>
            <w:r w:rsidRPr="002537FE">
              <w:t>Mean gender pay gap using hourly pay</w:t>
            </w:r>
          </w:p>
        </w:tc>
        <w:tc>
          <w:tcPr>
            <w:tcW w:w="993" w:type="dxa"/>
          </w:tcPr>
          <w:p w:rsidRPr="002537FE" w:rsidR="00A526FC" w:rsidP="00141005" w:rsidRDefault="00FF349A" w14:paraId="36C50F4E" w14:textId="4FB6796D">
            <w:pPr>
              <w:pStyle w:val="NoSpacing"/>
              <w:jc w:val="center"/>
            </w:pPr>
            <w:r w:rsidRPr="002537FE">
              <w:t>2</w:t>
            </w:r>
            <w:r w:rsidRPr="002537FE" w:rsidR="00A526FC">
              <w:t>.</w:t>
            </w:r>
            <w:r w:rsidRPr="002537FE" w:rsidR="008C791E">
              <w:t>1</w:t>
            </w:r>
            <w:r w:rsidR="00164972">
              <w:t>6</w:t>
            </w:r>
            <w:r w:rsidRPr="002537FE" w:rsidR="00A526FC">
              <w:t>%</w:t>
            </w:r>
          </w:p>
        </w:tc>
      </w:tr>
      <w:tr w:rsidRPr="00AB2A17" w:rsidR="00A526FC" w:rsidTr="00141005" w14:paraId="032A0FC5" w14:textId="77777777">
        <w:trPr>
          <w:trHeight w:val="420"/>
        </w:trPr>
        <w:tc>
          <w:tcPr>
            <w:tcW w:w="7938" w:type="dxa"/>
          </w:tcPr>
          <w:p w:rsidRPr="00164972" w:rsidR="00A526FC" w:rsidP="00141005" w:rsidRDefault="00A526FC" w14:paraId="432ED113" w14:textId="77777777">
            <w:pPr>
              <w:pStyle w:val="NoSpacing"/>
              <w:rPr>
                <w:b/>
                <w:bCs/>
                <w:sz w:val="32"/>
                <w:szCs w:val="32"/>
              </w:rPr>
            </w:pPr>
            <w:r w:rsidRPr="00164972">
              <w:t>Median gender pay gap using hourly pay</w:t>
            </w:r>
          </w:p>
        </w:tc>
        <w:tc>
          <w:tcPr>
            <w:tcW w:w="993" w:type="dxa"/>
          </w:tcPr>
          <w:p w:rsidRPr="00164972" w:rsidR="00A526FC" w:rsidP="00141005" w:rsidRDefault="00164972" w14:paraId="76179E8A" w14:textId="5868E72A">
            <w:pPr>
              <w:pStyle w:val="NoSpacing"/>
              <w:jc w:val="center"/>
            </w:pPr>
            <w:r w:rsidRPr="00164972">
              <w:t>13.43</w:t>
            </w:r>
            <w:r w:rsidRPr="00164972" w:rsidR="00A526FC">
              <w:t>%</w:t>
            </w:r>
          </w:p>
        </w:tc>
      </w:tr>
    </w:tbl>
    <w:p w:rsidR="00A526FC" w:rsidP="00A526FC" w:rsidRDefault="00A526FC" w14:paraId="7FABA0F3" w14:textId="77777777">
      <w:pPr>
        <w:pStyle w:val="NoSpacing"/>
        <w:rPr>
          <w:b/>
          <w:bCs/>
          <w:sz w:val="32"/>
          <w:szCs w:val="32"/>
        </w:rPr>
      </w:pPr>
    </w:p>
    <w:p w:rsidR="00A526FC" w:rsidP="00A526FC" w:rsidRDefault="00A526FC" w14:paraId="764A86CF" w14:textId="77777777">
      <w:pPr>
        <w:pStyle w:val="NoSpacing"/>
        <w:rPr>
          <w:b/>
          <w:bCs/>
        </w:rPr>
      </w:pPr>
      <w:r w:rsidRPr="00992317">
        <w:rPr>
          <w:b/>
          <w:bCs/>
        </w:rPr>
        <w:t>Percentage of men and women who received bonus pay*</w:t>
      </w:r>
    </w:p>
    <w:p w:rsidR="00A526FC" w:rsidP="00A526FC" w:rsidRDefault="00A526FC" w14:paraId="24229FC6" w14:textId="77777777">
      <w:pPr>
        <w:pStyle w:val="NoSpacing"/>
        <w:rPr>
          <w:b/>
          <w:bCs/>
        </w:rPr>
      </w:pPr>
    </w:p>
    <w:tbl>
      <w:tblPr>
        <w:tblStyle w:val="Style1"/>
        <w:tblW w:w="0" w:type="auto"/>
        <w:tblLook w:val="04A0" w:firstRow="1" w:lastRow="0" w:firstColumn="1" w:lastColumn="0" w:noHBand="0" w:noVBand="1"/>
      </w:tblPr>
      <w:tblGrid>
        <w:gridCol w:w="6516"/>
        <w:gridCol w:w="1276"/>
        <w:gridCol w:w="1224"/>
      </w:tblGrid>
      <w:tr w:rsidR="00A526FC" w:rsidTr="00141005" w14:paraId="19E71C51" w14:textId="77777777">
        <w:tc>
          <w:tcPr>
            <w:tcW w:w="6516" w:type="dxa"/>
          </w:tcPr>
          <w:p w:rsidR="00A526FC" w:rsidP="00141005" w:rsidRDefault="00A526FC" w14:paraId="5F582A0C" w14:textId="77777777">
            <w:pPr>
              <w:pStyle w:val="NoSpacing"/>
              <w:rPr>
                <w:b/>
                <w:bCs/>
                <w:sz w:val="32"/>
                <w:szCs w:val="32"/>
              </w:rPr>
            </w:pPr>
          </w:p>
        </w:tc>
        <w:tc>
          <w:tcPr>
            <w:tcW w:w="1276" w:type="dxa"/>
          </w:tcPr>
          <w:p w:rsidRPr="00593070" w:rsidR="00A526FC" w:rsidP="00141005" w:rsidRDefault="00A526FC" w14:paraId="5451F443" w14:textId="77777777">
            <w:pPr>
              <w:pStyle w:val="NoSpacing"/>
              <w:jc w:val="center"/>
              <w:rPr>
                <w:b/>
                <w:bCs/>
              </w:rPr>
            </w:pPr>
            <w:r w:rsidRPr="00593070">
              <w:rPr>
                <w:b/>
                <w:bCs/>
              </w:rPr>
              <w:t>Men</w:t>
            </w:r>
          </w:p>
        </w:tc>
        <w:tc>
          <w:tcPr>
            <w:tcW w:w="1224" w:type="dxa"/>
          </w:tcPr>
          <w:p w:rsidRPr="00593070" w:rsidR="00A526FC" w:rsidP="00141005" w:rsidRDefault="00A526FC" w14:paraId="67148960" w14:textId="77777777">
            <w:pPr>
              <w:pStyle w:val="NoSpacing"/>
              <w:jc w:val="center"/>
              <w:rPr>
                <w:b/>
                <w:bCs/>
              </w:rPr>
            </w:pPr>
            <w:r w:rsidRPr="00593070">
              <w:rPr>
                <w:b/>
                <w:bCs/>
              </w:rPr>
              <w:t>Women</w:t>
            </w:r>
          </w:p>
        </w:tc>
      </w:tr>
      <w:tr w:rsidR="00A526FC" w:rsidTr="00141005" w14:paraId="2307FE2C" w14:textId="77777777">
        <w:trPr>
          <w:trHeight w:val="375"/>
        </w:trPr>
        <w:tc>
          <w:tcPr>
            <w:tcW w:w="6516" w:type="dxa"/>
          </w:tcPr>
          <w:p w:rsidR="00A526FC" w:rsidP="00141005" w:rsidRDefault="00A526FC" w14:paraId="52360D3E" w14:textId="77777777">
            <w:pPr>
              <w:pStyle w:val="NoSpacing"/>
              <w:rPr>
                <w:b/>
                <w:bCs/>
                <w:sz w:val="32"/>
                <w:szCs w:val="32"/>
              </w:rPr>
            </w:pPr>
            <w:r>
              <w:t>Percentage of men and women who received bonus pay</w:t>
            </w:r>
          </w:p>
        </w:tc>
        <w:tc>
          <w:tcPr>
            <w:tcW w:w="1276" w:type="dxa"/>
          </w:tcPr>
          <w:p w:rsidRPr="0015479E" w:rsidR="00A526FC" w:rsidP="00141005" w:rsidRDefault="00A526FC" w14:paraId="7EA6D7BD" w14:textId="77777777">
            <w:pPr>
              <w:pStyle w:val="NoSpacing"/>
              <w:jc w:val="center"/>
            </w:pPr>
            <w:r>
              <w:t>0%</w:t>
            </w:r>
          </w:p>
        </w:tc>
        <w:tc>
          <w:tcPr>
            <w:tcW w:w="1224" w:type="dxa"/>
          </w:tcPr>
          <w:p w:rsidRPr="0015479E" w:rsidR="00A526FC" w:rsidP="00141005" w:rsidRDefault="00A526FC" w14:paraId="61AF7428" w14:textId="77777777">
            <w:pPr>
              <w:pStyle w:val="NoSpacing"/>
              <w:jc w:val="center"/>
            </w:pPr>
            <w:r>
              <w:t>0%</w:t>
            </w:r>
          </w:p>
        </w:tc>
      </w:tr>
    </w:tbl>
    <w:p w:rsidRPr="00461090" w:rsidR="00A526FC" w:rsidP="00A526FC" w:rsidRDefault="00A526FC" w14:paraId="04AE9715" w14:textId="77777777">
      <w:pPr>
        <w:pStyle w:val="NoSpacing"/>
        <w:rPr>
          <w:b/>
          <w:bCs/>
          <w:sz w:val="16"/>
          <w:szCs w:val="16"/>
        </w:rPr>
      </w:pPr>
    </w:p>
    <w:p w:rsidR="00A526FC" w:rsidP="00A526FC" w:rsidRDefault="00A526FC" w14:paraId="38E6C3D7" w14:textId="77777777">
      <w:pPr>
        <w:pStyle w:val="NoSpacing"/>
        <w:rPr>
          <w:sz w:val="16"/>
          <w:szCs w:val="16"/>
        </w:rPr>
      </w:pPr>
      <w:r w:rsidRPr="00593070">
        <w:rPr>
          <w:sz w:val="16"/>
          <w:szCs w:val="16"/>
        </w:rPr>
        <w:t>*Birmingham Children’s Trust does not pay bonuses</w:t>
      </w:r>
    </w:p>
    <w:p w:rsidR="00A526FC" w:rsidP="00A526FC" w:rsidRDefault="00A526FC" w14:paraId="07F3E653" w14:textId="77777777">
      <w:pPr>
        <w:pStyle w:val="NoSpacing"/>
        <w:rPr>
          <w:sz w:val="16"/>
          <w:szCs w:val="16"/>
        </w:rPr>
      </w:pPr>
    </w:p>
    <w:p w:rsidR="00A526FC" w:rsidP="00A526FC" w:rsidRDefault="00A526FC" w14:paraId="32D7C21D" w14:textId="77777777">
      <w:pPr>
        <w:pStyle w:val="NoSpacing"/>
      </w:pPr>
    </w:p>
    <w:p w:rsidR="00A526FC" w:rsidP="00A526FC" w:rsidRDefault="00A526FC" w14:paraId="1A3EA2B6" w14:textId="77777777">
      <w:pPr>
        <w:pStyle w:val="NoSpacing"/>
        <w:rPr>
          <w:b/>
          <w:bCs/>
        </w:rPr>
      </w:pPr>
      <w:r w:rsidRPr="0004341C">
        <w:rPr>
          <w:b/>
          <w:bCs/>
        </w:rPr>
        <w:t>Mean and median gender pay gap using bonus pay</w:t>
      </w:r>
    </w:p>
    <w:p w:rsidR="00A526FC" w:rsidP="00A526FC" w:rsidRDefault="00A526FC" w14:paraId="6FF4E13A" w14:textId="77777777">
      <w:pPr>
        <w:pStyle w:val="NoSpacing"/>
        <w:rPr>
          <w:b/>
          <w:bCs/>
        </w:rPr>
      </w:pPr>
    </w:p>
    <w:tbl>
      <w:tblPr>
        <w:tblStyle w:val="Style1"/>
        <w:tblW w:w="0" w:type="auto"/>
        <w:tblLook w:val="04A0" w:firstRow="1" w:lastRow="0" w:firstColumn="1" w:lastColumn="0" w:noHBand="0" w:noVBand="1"/>
      </w:tblPr>
      <w:tblGrid>
        <w:gridCol w:w="7938"/>
        <w:gridCol w:w="993"/>
      </w:tblGrid>
      <w:tr w:rsidR="00A526FC" w:rsidTr="00141005" w14:paraId="29CD2279" w14:textId="77777777">
        <w:trPr>
          <w:trHeight w:val="439"/>
        </w:trPr>
        <w:tc>
          <w:tcPr>
            <w:tcW w:w="7938" w:type="dxa"/>
          </w:tcPr>
          <w:p w:rsidR="00A526FC" w:rsidP="00141005" w:rsidRDefault="00A526FC" w14:paraId="2071685B" w14:textId="77777777">
            <w:pPr>
              <w:pStyle w:val="NoSpacing"/>
              <w:rPr>
                <w:b/>
                <w:bCs/>
                <w:sz w:val="32"/>
                <w:szCs w:val="32"/>
              </w:rPr>
            </w:pPr>
            <w:r>
              <w:t>Mean gender pay gap using bonus pay</w:t>
            </w:r>
          </w:p>
        </w:tc>
        <w:tc>
          <w:tcPr>
            <w:tcW w:w="993" w:type="dxa"/>
          </w:tcPr>
          <w:p w:rsidRPr="00CC599B" w:rsidR="00A526FC" w:rsidP="00141005" w:rsidRDefault="00A526FC" w14:paraId="39BD2F52" w14:textId="77777777">
            <w:pPr>
              <w:pStyle w:val="NoSpacing"/>
              <w:jc w:val="center"/>
            </w:pPr>
            <w:r w:rsidRPr="00CC599B">
              <w:t>N/A</w:t>
            </w:r>
          </w:p>
        </w:tc>
      </w:tr>
      <w:tr w:rsidR="00A526FC" w:rsidTr="00141005" w14:paraId="155FCE34" w14:textId="77777777">
        <w:trPr>
          <w:trHeight w:val="442"/>
        </w:trPr>
        <w:tc>
          <w:tcPr>
            <w:tcW w:w="7938" w:type="dxa"/>
          </w:tcPr>
          <w:p w:rsidR="00A526FC" w:rsidP="00141005" w:rsidRDefault="00A526FC" w14:paraId="3DB052F3" w14:textId="77777777">
            <w:pPr>
              <w:pStyle w:val="NoSpacing"/>
              <w:rPr>
                <w:b/>
                <w:bCs/>
                <w:sz w:val="32"/>
                <w:szCs w:val="32"/>
              </w:rPr>
            </w:pPr>
            <w:r>
              <w:t>Median gender pay gap using bonus pay</w:t>
            </w:r>
          </w:p>
        </w:tc>
        <w:tc>
          <w:tcPr>
            <w:tcW w:w="993" w:type="dxa"/>
          </w:tcPr>
          <w:p w:rsidR="00A526FC" w:rsidP="00141005" w:rsidRDefault="00A526FC" w14:paraId="306B09B2" w14:textId="77777777">
            <w:pPr>
              <w:pStyle w:val="NoSpacing"/>
              <w:jc w:val="center"/>
              <w:rPr>
                <w:b/>
                <w:bCs/>
                <w:sz w:val="32"/>
                <w:szCs w:val="32"/>
              </w:rPr>
            </w:pPr>
            <w:r w:rsidRPr="00CC599B">
              <w:t>N/A</w:t>
            </w:r>
          </w:p>
        </w:tc>
      </w:tr>
    </w:tbl>
    <w:p w:rsidR="00A526FC" w:rsidP="00A526FC" w:rsidRDefault="00A526FC" w14:paraId="177660E2" w14:textId="77777777">
      <w:pPr>
        <w:pStyle w:val="NoSpacing"/>
        <w:rPr>
          <w:b/>
          <w:bCs/>
          <w:sz w:val="16"/>
          <w:szCs w:val="16"/>
        </w:rPr>
      </w:pPr>
    </w:p>
    <w:p w:rsidR="00A526FC" w:rsidP="00A526FC" w:rsidRDefault="00A526FC" w14:paraId="336F7639" w14:textId="77777777">
      <w:pPr>
        <w:pStyle w:val="NoSpacing"/>
        <w:rPr>
          <w:b/>
          <w:bCs/>
          <w:sz w:val="16"/>
          <w:szCs w:val="16"/>
        </w:rPr>
      </w:pPr>
    </w:p>
    <w:p w:rsidR="00A526FC" w:rsidP="00A526FC" w:rsidRDefault="00A526FC" w14:paraId="5617446B" w14:textId="77777777">
      <w:pPr>
        <w:pStyle w:val="NoSpacing"/>
        <w:rPr>
          <w:b/>
          <w:bCs/>
        </w:rPr>
      </w:pPr>
      <w:r w:rsidRPr="00256D7C">
        <w:rPr>
          <w:b/>
          <w:bCs/>
        </w:rPr>
        <w:t>Employee headcount</w:t>
      </w:r>
    </w:p>
    <w:p w:rsidR="00A526FC" w:rsidP="00A526FC" w:rsidRDefault="00A526FC" w14:paraId="55A8A34C" w14:textId="77777777">
      <w:pPr>
        <w:pStyle w:val="NoSpacing"/>
        <w:rPr>
          <w:b/>
          <w:bCs/>
        </w:rPr>
      </w:pPr>
    </w:p>
    <w:tbl>
      <w:tblPr>
        <w:tblStyle w:val="Style1"/>
        <w:tblW w:w="0" w:type="auto"/>
        <w:tblLook w:val="04A0" w:firstRow="1" w:lastRow="0" w:firstColumn="1" w:lastColumn="0" w:noHBand="0" w:noVBand="1"/>
      </w:tblPr>
      <w:tblGrid>
        <w:gridCol w:w="7938"/>
        <w:gridCol w:w="993"/>
      </w:tblGrid>
      <w:tr w:rsidRPr="004A3A33" w:rsidR="00A526FC" w:rsidTr="00D604BA" w14:paraId="224CFF39" w14:textId="77777777">
        <w:trPr>
          <w:trHeight w:val="413"/>
        </w:trPr>
        <w:tc>
          <w:tcPr>
            <w:tcW w:w="7938" w:type="dxa"/>
          </w:tcPr>
          <w:p w:rsidR="00A526FC" w:rsidP="00141005" w:rsidRDefault="00A526FC" w14:paraId="418D8010" w14:textId="77777777">
            <w:pPr>
              <w:pStyle w:val="NoSpacing"/>
              <w:rPr>
                <w:b/>
                <w:bCs/>
                <w:sz w:val="32"/>
                <w:szCs w:val="32"/>
              </w:rPr>
            </w:pPr>
            <w:r>
              <w:t>Number of employees used to establish headcount for gender pay gap reporting</w:t>
            </w:r>
          </w:p>
        </w:tc>
        <w:tc>
          <w:tcPr>
            <w:tcW w:w="993" w:type="dxa"/>
          </w:tcPr>
          <w:p w:rsidRPr="004A3A33" w:rsidR="00A526FC" w:rsidP="00141005" w:rsidRDefault="00D604BA" w14:paraId="6C76BD67" w14:textId="15EB6970">
            <w:pPr>
              <w:pStyle w:val="NoSpacing"/>
              <w:jc w:val="center"/>
            </w:pPr>
            <w:r>
              <w:t>2</w:t>
            </w:r>
            <w:r w:rsidR="000942E2">
              <w:t>225</w:t>
            </w:r>
          </w:p>
        </w:tc>
      </w:tr>
    </w:tbl>
    <w:p w:rsidR="00A526FC" w:rsidP="00A526FC" w:rsidRDefault="00A526FC" w14:paraId="7EE7E946" w14:textId="77777777">
      <w:pPr>
        <w:pStyle w:val="NoSpacing"/>
        <w:rPr>
          <w:b/>
          <w:bCs/>
          <w:sz w:val="16"/>
          <w:szCs w:val="16"/>
        </w:rPr>
      </w:pPr>
    </w:p>
    <w:p w:rsidR="0077284B" w:rsidRDefault="0077284B" w14:paraId="3B96AA5B" w14:textId="77777777"/>
    <w:p w:rsidR="006876B0" w:rsidRDefault="006876B0" w14:paraId="7C5BF774" w14:textId="77777777"/>
    <w:p w:rsidR="006876B0" w:rsidRDefault="006876B0" w14:paraId="476E0B1A" w14:textId="77777777"/>
    <w:p w:rsidR="006876B0" w:rsidRDefault="006876B0" w14:paraId="74C7CB4B" w14:textId="77777777"/>
    <w:p w:rsidR="00BB3D32" w:rsidP="00BB3D32" w:rsidRDefault="00560AFC" w14:paraId="1D17F5E3" w14:textId="08092E64">
      <w:pPr>
        <w:pStyle w:val="Heading1"/>
        <w:rPr>
          <w:b/>
          <w:bCs/>
          <w:color w:val="FFC000"/>
        </w:rPr>
      </w:pPr>
      <w:bookmarkStart w:name="_Toc188805626" w:id="3"/>
      <w:r>
        <w:rPr>
          <w:b/>
          <w:bCs/>
          <w:color w:val="FFC000"/>
        </w:rPr>
        <w:lastRenderedPageBreak/>
        <w:t>Maintaining</w:t>
      </w:r>
      <w:r w:rsidR="00673424">
        <w:rPr>
          <w:b/>
          <w:bCs/>
          <w:color w:val="FFC000"/>
        </w:rPr>
        <w:t xml:space="preserve"> Our</w:t>
      </w:r>
      <w:r>
        <w:rPr>
          <w:b/>
          <w:bCs/>
          <w:color w:val="FFC000"/>
        </w:rPr>
        <w:t xml:space="preserve"> Gender Pay Differences</w:t>
      </w:r>
      <w:bookmarkEnd w:id="3"/>
    </w:p>
    <w:p w:rsidR="00BB3D32" w:rsidP="00BB3D32" w:rsidRDefault="00BB3D32" w14:paraId="6AD6CAA4" w14:textId="77777777"/>
    <w:p w:rsidR="00693FC1" w:rsidP="00693FC1" w:rsidRDefault="00693FC1" w14:paraId="4A0F53E4" w14:textId="7A1E6684">
      <w:pPr>
        <w:shd w:val="clear" w:color="auto" w:fill="FFFFFF"/>
        <w:spacing w:after="240" w:line="240" w:lineRule="auto"/>
        <w:jc w:val="both"/>
      </w:pPr>
      <w:r w:rsidRPr="00693FC1">
        <w:t xml:space="preserve">We are committed to </w:t>
      </w:r>
      <w:r w:rsidR="00574572">
        <w:t>improving the identified</w:t>
      </w:r>
      <w:r w:rsidR="00007274">
        <w:t xml:space="preserve"> </w:t>
      </w:r>
      <w:r w:rsidRPr="00693FC1">
        <w:t>gap</w:t>
      </w:r>
      <w:r w:rsidR="00B05F2F">
        <w:t xml:space="preserve"> </w:t>
      </w:r>
      <w:r w:rsidR="008A1E56">
        <w:t>and will continue to promote and develop e</w:t>
      </w:r>
      <w:r w:rsidRPr="00693FC1">
        <w:t>quality, diversity and inclusion programme</w:t>
      </w:r>
      <w:r w:rsidR="00D46464">
        <w:t>s</w:t>
      </w:r>
      <w:r w:rsidRPr="00693FC1">
        <w:t xml:space="preserve"> </w:t>
      </w:r>
      <w:r w:rsidR="008A1E56">
        <w:t>within Birmingham Children’s Trust</w:t>
      </w:r>
      <w:r w:rsidR="00D46464">
        <w:t>.</w:t>
      </w:r>
    </w:p>
    <w:p w:rsidR="00D46464" w:rsidP="00693FC1" w:rsidRDefault="00D46464" w14:paraId="59A57CDA" w14:textId="7372ABB2">
      <w:pPr>
        <w:shd w:val="clear" w:color="auto" w:fill="FFFFFF"/>
        <w:spacing w:after="240" w:line="240" w:lineRule="auto"/>
        <w:jc w:val="both"/>
      </w:pPr>
      <w:r>
        <w:t xml:space="preserve">We recognise that employers have a responsibility – to their businesses, their people and society – to keep driving the changes we need to see. We also have a responsibility to our own people, and we act on our commitment </w:t>
      </w:r>
      <w:r w:rsidR="003050BB">
        <w:t xml:space="preserve">for </w:t>
      </w:r>
      <w:r>
        <w:t xml:space="preserve">greater inclusion, fairness and flexibility in </w:t>
      </w:r>
      <w:r w:rsidR="00486D14">
        <w:t>several</w:t>
      </w:r>
      <w:r>
        <w:t xml:space="preserve"> ways</w:t>
      </w:r>
      <w:r w:rsidR="00C663B8">
        <w:t>:</w:t>
      </w:r>
    </w:p>
    <w:p w:rsidRPr="007423DD" w:rsidR="007423DD" w:rsidP="00693FC1" w:rsidRDefault="007423DD" w14:paraId="39BEDEA2" w14:textId="4BDD5BDB">
      <w:pPr>
        <w:shd w:val="clear" w:color="auto" w:fill="FFFFFF"/>
        <w:spacing w:after="240" w:line="240" w:lineRule="auto"/>
        <w:jc w:val="both"/>
        <w:rPr>
          <w:b/>
          <w:bCs/>
        </w:rPr>
      </w:pPr>
      <w:r w:rsidRPr="007423DD">
        <w:rPr>
          <w:b/>
          <w:bCs/>
        </w:rPr>
        <w:t xml:space="preserve">Recruitment and </w:t>
      </w:r>
      <w:r w:rsidR="00026345">
        <w:rPr>
          <w:b/>
          <w:bCs/>
        </w:rPr>
        <w:t>R</w:t>
      </w:r>
      <w:r w:rsidRPr="007423DD">
        <w:rPr>
          <w:b/>
          <w:bCs/>
        </w:rPr>
        <w:t xml:space="preserve">etention </w:t>
      </w:r>
    </w:p>
    <w:p w:rsidR="00AC5487" w:rsidP="00693FC1" w:rsidRDefault="007423DD" w14:paraId="781258A0" w14:textId="117008B9">
      <w:pPr>
        <w:shd w:val="clear" w:color="auto" w:fill="FFFFFF"/>
        <w:spacing w:after="240" w:line="240" w:lineRule="auto"/>
        <w:jc w:val="both"/>
      </w:pPr>
      <w:r>
        <w:t xml:space="preserve">Our aim is to achieve greater inclusion and diversity throughout </w:t>
      </w:r>
      <w:r w:rsidR="00C663B8">
        <w:t xml:space="preserve">our recruitment </w:t>
      </w:r>
      <w:r w:rsidR="00A32F06">
        <w:t>process, w</w:t>
      </w:r>
      <w:r>
        <w:t xml:space="preserve">e </w:t>
      </w:r>
      <w:r w:rsidR="00C663B8">
        <w:t xml:space="preserve">will </w:t>
      </w:r>
      <w:r>
        <w:t xml:space="preserve">continue to review our talent attraction approach, using job-specific selection criteria to ensure fairness and inclusivity. </w:t>
      </w:r>
    </w:p>
    <w:p w:rsidR="00C8368D" w:rsidP="00693FC1" w:rsidRDefault="007423DD" w14:paraId="158EFA88" w14:textId="6A2A531C">
      <w:pPr>
        <w:shd w:val="clear" w:color="auto" w:fill="FFFFFF"/>
        <w:spacing w:after="240" w:line="240" w:lineRule="auto"/>
        <w:jc w:val="both"/>
      </w:pPr>
      <w:r>
        <w:t>We</w:t>
      </w:r>
      <w:r w:rsidR="00AC5487">
        <w:t xml:space="preserve"> will continue to</w:t>
      </w:r>
      <w:r>
        <w:t xml:space="preserve"> advertise</w:t>
      </w:r>
      <w:r w:rsidR="00AC5487">
        <w:t xml:space="preserve"> all</w:t>
      </w:r>
      <w:r>
        <w:t xml:space="preserve"> </w:t>
      </w:r>
      <w:r w:rsidR="00AC5487">
        <w:t>vacancies</w:t>
      </w:r>
      <w:r>
        <w:t xml:space="preserve"> with transparent pay ranges and an openness to flexible working arrangements. </w:t>
      </w:r>
      <w:r w:rsidR="00C8368D">
        <w:t>In future we will n</w:t>
      </w:r>
      <w:r>
        <w:t xml:space="preserve">ot ask applicants to disclose their salary history, so they have a fair basis to negotiate pay. </w:t>
      </w:r>
    </w:p>
    <w:p w:rsidR="00A32F06" w:rsidP="00693FC1" w:rsidRDefault="007423DD" w14:paraId="619A0CEA" w14:textId="2754212E">
      <w:pPr>
        <w:shd w:val="clear" w:color="auto" w:fill="FFFFFF"/>
        <w:spacing w:after="240" w:line="240" w:lineRule="auto"/>
        <w:jc w:val="both"/>
      </w:pPr>
      <w:r>
        <w:t>Where we observe diversity imbalances in specific areas of our business, we</w:t>
      </w:r>
      <w:r w:rsidR="00CF769E">
        <w:t xml:space="preserve"> will</w:t>
      </w:r>
      <w:r>
        <w:t xml:space="preserve"> explore the potential causes to remove any possible barriers to entry and progression. </w:t>
      </w:r>
    </w:p>
    <w:p w:rsidRPr="007D7363" w:rsidR="007D7363" w:rsidP="00693FC1" w:rsidRDefault="00720EC8" w14:paraId="4574B43B" w14:textId="714BD87A">
      <w:pPr>
        <w:shd w:val="clear" w:color="auto" w:fill="FFFFFF"/>
        <w:spacing w:after="240" w:line="240" w:lineRule="auto"/>
        <w:jc w:val="both"/>
        <w:rPr>
          <w:b/>
          <w:bCs/>
        </w:rPr>
      </w:pPr>
      <w:r>
        <w:rPr>
          <w:b/>
          <w:bCs/>
        </w:rPr>
        <w:t>Employee Voice</w:t>
      </w:r>
    </w:p>
    <w:p w:rsidR="005B24C0" w:rsidP="00693FC1" w:rsidRDefault="007423DD" w14:paraId="6D772E8C" w14:textId="41022301">
      <w:pPr>
        <w:shd w:val="clear" w:color="auto" w:fill="FFFFFF"/>
        <w:spacing w:after="240" w:line="240" w:lineRule="auto"/>
        <w:jc w:val="both"/>
      </w:pPr>
      <w:r>
        <w:t xml:space="preserve">We encourage everyone to use </w:t>
      </w:r>
      <w:r w:rsidR="00331EC0">
        <w:t>their v</w:t>
      </w:r>
      <w:r>
        <w:t>oice</w:t>
      </w:r>
      <w:r w:rsidR="00331EC0">
        <w:t xml:space="preserve"> to support us</w:t>
      </w:r>
      <w:r w:rsidR="000B2F2D">
        <w:t xml:space="preserve"> in identifying areas of improvement. We </w:t>
      </w:r>
      <w:r w:rsidR="005115DE">
        <w:t>have</w:t>
      </w:r>
      <w:r w:rsidR="000B2F2D">
        <w:t xml:space="preserve"> </w:t>
      </w:r>
      <w:r w:rsidR="005115DE">
        <w:t>developed</w:t>
      </w:r>
      <w:r>
        <w:t xml:space="preserve"> our employee engagement survey</w:t>
      </w:r>
      <w:r w:rsidR="005115DE">
        <w:t xml:space="preserve"> “Your Voice”</w:t>
      </w:r>
      <w:r>
        <w:t>, so we can hear the views of all our people.</w:t>
      </w:r>
      <w:r w:rsidR="00D30F76">
        <w:t xml:space="preserve"> </w:t>
      </w:r>
      <w:r>
        <w:t>This generate</w:t>
      </w:r>
      <w:r w:rsidR="005115DE">
        <w:t>s</w:t>
      </w:r>
      <w:r>
        <w:t xml:space="preserve"> real-time data on key people issues</w:t>
      </w:r>
      <w:r w:rsidR="005B24C0">
        <w:t>.</w:t>
      </w:r>
    </w:p>
    <w:p w:rsidR="006A33BF" w:rsidP="00693FC1" w:rsidRDefault="005B24C0" w14:paraId="7E499A9A" w14:textId="198610F9">
      <w:pPr>
        <w:shd w:val="clear" w:color="auto" w:fill="FFFFFF"/>
        <w:spacing w:after="240" w:line="240" w:lineRule="auto"/>
        <w:jc w:val="both"/>
      </w:pPr>
      <w:r>
        <w:t xml:space="preserve">We continue to </w:t>
      </w:r>
      <w:r w:rsidR="007423DD">
        <w:t xml:space="preserve">build on our staff investment in recent </w:t>
      </w:r>
      <w:r w:rsidR="00720EC8">
        <w:t>years and</w:t>
      </w:r>
      <w:r>
        <w:t xml:space="preserve"> are</w:t>
      </w:r>
      <w:r w:rsidR="007423DD">
        <w:t xml:space="preserve"> progressing against our internal </w:t>
      </w:r>
      <w:r>
        <w:t>equalities</w:t>
      </w:r>
      <w:r w:rsidR="007423DD">
        <w:t xml:space="preserve"> action plan. </w:t>
      </w:r>
      <w:r w:rsidR="00026345">
        <w:t>We</w:t>
      </w:r>
      <w:r w:rsidR="007423DD">
        <w:t xml:space="preserve"> role-model flexible and hybrid ways of working</w:t>
      </w:r>
      <w:r w:rsidR="00026345">
        <w:t xml:space="preserve"> and o</w:t>
      </w:r>
      <w:r w:rsidR="007423DD">
        <w:t xml:space="preserve">ur approach is helping us to attract and retain talented people who are committed to our purpose. </w:t>
      </w:r>
    </w:p>
    <w:p w:rsidRPr="00026345" w:rsidR="00026345" w:rsidP="00693FC1" w:rsidRDefault="007423DD" w14:paraId="0D2E59A7" w14:textId="0867DC88">
      <w:pPr>
        <w:shd w:val="clear" w:color="auto" w:fill="FFFFFF"/>
        <w:spacing w:after="240" w:line="240" w:lineRule="auto"/>
        <w:jc w:val="both"/>
        <w:rPr>
          <w:b/>
          <w:bCs/>
        </w:rPr>
      </w:pPr>
      <w:r w:rsidRPr="00026345">
        <w:rPr>
          <w:b/>
          <w:bCs/>
        </w:rPr>
        <w:t xml:space="preserve">Pay </w:t>
      </w:r>
      <w:r w:rsidR="00026345">
        <w:rPr>
          <w:b/>
          <w:bCs/>
        </w:rPr>
        <w:t>T</w:t>
      </w:r>
      <w:r w:rsidRPr="00026345">
        <w:rPr>
          <w:b/>
          <w:bCs/>
        </w:rPr>
        <w:t xml:space="preserve">ransparency </w:t>
      </w:r>
    </w:p>
    <w:p w:rsidR="00F24290" w:rsidP="00693FC1" w:rsidRDefault="007423DD" w14:paraId="210334CA" w14:textId="76D37210">
      <w:pPr>
        <w:shd w:val="clear" w:color="auto" w:fill="FFFFFF"/>
        <w:spacing w:after="240" w:line="240" w:lineRule="auto"/>
        <w:jc w:val="both"/>
      </w:pPr>
      <w:r>
        <w:t xml:space="preserve">We pay above the voluntary ‘real’ Living Wage and </w:t>
      </w:r>
      <w:r w:rsidR="00D71F8A">
        <w:t xml:space="preserve">evaluate all job roles </w:t>
      </w:r>
      <w:r>
        <w:t>externally to ensure our compensation is fair</w:t>
      </w:r>
      <w:r w:rsidR="00F24290">
        <w:t xml:space="preserve"> and</w:t>
      </w:r>
      <w:r>
        <w:t xml:space="preserve"> competitive. </w:t>
      </w:r>
    </w:p>
    <w:p w:rsidR="004508AF" w:rsidP="00693FC1" w:rsidRDefault="00D71F8A" w14:paraId="44B775F0" w14:textId="70E90EEC">
      <w:pPr>
        <w:shd w:val="clear" w:color="auto" w:fill="FFFFFF"/>
        <w:spacing w:after="240" w:line="240" w:lineRule="auto"/>
        <w:jc w:val="both"/>
      </w:pPr>
      <w:r>
        <w:t>Working in partnership with Birmingham City Council w</w:t>
      </w:r>
      <w:r w:rsidR="007423DD">
        <w:t xml:space="preserve">e continue to review and manage the span of our pay grades to provide greater equality for people undertaking the same or similar roles at the same level. By tracking our pay data and conducting </w:t>
      </w:r>
      <w:r w:rsidR="00D87B3D">
        <w:t>undertaking a</w:t>
      </w:r>
      <w:r w:rsidR="007423DD">
        <w:t xml:space="preserve"> full analysis</w:t>
      </w:r>
      <w:r w:rsidR="00D87B3D">
        <w:t xml:space="preserve"> we will</w:t>
      </w:r>
      <w:r w:rsidR="007423DD">
        <w:t xml:space="preserve"> building a better understanding of what drives our gender pay gaps. </w:t>
      </w:r>
    </w:p>
    <w:p w:rsidRPr="00E363A0" w:rsidR="00E363A0" w:rsidP="00693FC1" w:rsidRDefault="007423DD" w14:paraId="4E870D65" w14:textId="2DC2D825">
      <w:pPr>
        <w:shd w:val="clear" w:color="auto" w:fill="FFFFFF"/>
        <w:spacing w:after="240" w:line="240" w:lineRule="auto"/>
        <w:jc w:val="both"/>
        <w:rPr>
          <w:b/>
          <w:bCs/>
        </w:rPr>
      </w:pPr>
      <w:r w:rsidRPr="00E363A0">
        <w:rPr>
          <w:b/>
          <w:bCs/>
        </w:rPr>
        <w:t xml:space="preserve">Flexible </w:t>
      </w:r>
      <w:r w:rsidRPr="00E363A0" w:rsidR="00E363A0">
        <w:rPr>
          <w:b/>
          <w:bCs/>
        </w:rPr>
        <w:t>W</w:t>
      </w:r>
      <w:r w:rsidRPr="00E363A0">
        <w:rPr>
          <w:b/>
          <w:bCs/>
        </w:rPr>
        <w:t xml:space="preserve">orking </w:t>
      </w:r>
    </w:p>
    <w:p w:rsidR="00E363A0" w:rsidP="00693FC1" w:rsidRDefault="007423DD" w14:paraId="724AF106" w14:textId="77777777">
      <w:pPr>
        <w:shd w:val="clear" w:color="auto" w:fill="FFFFFF"/>
        <w:spacing w:after="240" w:line="240" w:lineRule="auto"/>
        <w:jc w:val="both"/>
      </w:pPr>
      <w:r>
        <w:t>Gender pay gaps</w:t>
      </w:r>
      <w:r w:rsidR="00E363A0">
        <w:t xml:space="preserve"> can</w:t>
      </w:r>
      <w:r>
        <w:t xml:space="preserve"> typically occur when more women than men work flexibly to fulfil family responsibilities, and when this in turn limits their access to higher-paid, senior roles. </w:t>
      </w:r>
    </w:p>
    <w:p w:rsidR="00F74840" w:rsidP="00693FC1" w:rsidRDefault="00D7167F" w14:paraId="7C97E025" w14:textId="77777777">
      <w:pPr>
        <w:shd w:val="clear" w:color="auto" w:fill="FFFFFF"/>
        <w:spacing w:after="240" w:line="240" w:lineRule="auto"/>
        <w:jc w:val="both"/>
      </w:pPr>
      <w:r>
        <w:t>O</w:t>
      </w:r>
      <w:r w:rsidR="007423DD">
        <w:t xml:space="preserve">ur position </w:t>
      </w:r>
      <w:r>
        <w:t xml:space="preserve">is </w:t>
      </w:r>
      <w:r w:rsidR="007423DD">
        <w:t>that the request for flexible working should be a right from day one</w:t>
      </w:r>
      <w:r>
        <w:t xml:space="preserve"> and throughout an employee’s service to the Trust</w:t>
      </w:r>
      <w:r w:rsidR="007423DD">
        <w:t xml:space="preserve">. We continue to make full use of evolving technology, innovative workspaces, and new ways of working to empower our people to work however and wherever is most effective for the business, their team, and their own productivity. </w:t>
      </w:r>
    </w:p>
    <w:sectPr w:rsidR="00F74840" w:rsidSect="00A526FC">
      <w:footerReference w:type="even" r:id="rId14"/>
      <w:footerReference w:type="defaul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7CEB" w:rsidP="00247CEB" w:rsidRDefault="00247CEB" w14:paraId="11D1DA90" w14:textId="77777777">
      <w:pPr>
        <w:spacing w:after="0" w:line="240" w:lineRule="auto"/>
      </w:pPr>
      <w:r>
        <w:separator/>
      </w:r>
    </w:p>
  </w:endnote>
  <w:endnote w:type="continuationSeparator" w:id="0">
    <w:p w:rsidR="00247CEB" w:rsidP="00247CEB" w:rsidRDefault="00247CEB" w14:paraId="0F6F944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A33BF" w:rsidRDefault="00247CEB" w14:paraId="66F34ABD" w14:textId="781A5CA8">
    <w:pPr>
      <w:pStyle w:val="Footer"/>
    </w:pPr>
    <w:r>
      <w:rPr>
        <w:noProof/>
      </w:rPr>
      <mc:AlternateContent>
        <mc:Choice Requires="wps">
          <w:drawing>
            <wp:anchor distT="0" distB="0" distL="0" distR="0" simplePos="0" relativeHeight="251659264" behindDoc="0" locked="0" layoutInCell="1" allowOverlap="1" wp14:anchorId="2661A18E" wp14:editId="74D1FCE2">
              <wp:simplePos x="635" y="635"/>
              <wp:positionH relativeFrom="page">
                <wp:align>center</wp:align>
              </wp:positionH>
              <wp:positionV relativeFrom="page">
                <wp:align>bottom</wp:align>
              </wp:positionV>
              <wp:extent cx="443865" cy="443865"/>
              <wp:effectExtent l="0" t="0" r="16510" b="0"/>
              <wp:wrapNone/>
              <wp:docPr id="212565645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7CEB" w:rsidR="00247CEB" w:rsidP="00247CEB" w:rsidRDefault="00247CEB" w14:paraId="589DBEEE" w14:textId="36B29371">
                          <w:pPr>
                            <w:spacing w:after="0"/>
                            <w:rPr>
                              <w:rFonts w:ascii="Calibri" w:hAnsi="Calibri" w:eastAsia="Calibri" w:cs="Calibri"/>
                              <w:noProof/>
                              <w:color w:val="000000"/>
                              <w:sz w:val="20"/>
                              <w:szCs w:val="20"/>
                            </w:rPr>
                          </w:pPr>
                          <w:r w:rsidRPr="00247CEB">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661A18E">
              <v:stroke joinstyle="miter"/>
              <v:path gradientshapeok="t" o:connecttype="rect"/>
            </v:shapetype>
            <v:shape id="Text Box 4"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247CEB" w:rsidR="00247CEB" w:rsidP="00247CEB" w:rsidRDefault="00247CEB" w14:paraId="589DBEEE" w14:textId="36B29371">
                    <w:pPr>
                      <w:spacing w:after="0"/>
                      <w:rPr>
                        <w:rFonts w:ascii="Calibri" w:hAnsi="Calibri" w:eastAsia="Calibri" w:cs="Calibri"/>
                        <w:noProof/>
                        <w:color w:val="000000"/>
                        <w:sz w:val="20"/>
                        <w:szCs w:val="20"/>
                      </w:rPr>
                    </w:pPr>
                    <w:r w:rsidRPr="00247CEB">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A33BF" w:rsidRDefault="00247CEB" w14:paraId="43D01649" w14:textId="33BBE6FC">
    <w:pPr>
      <w:pStyle w:val="Footer"/>
    </w:pPr>
    <w:r>
      <w:rPr>
        <w:noProof/>
      </w:rPr>
      <mc:AlternateContent>
        <mc:Choice Requires="wps">
          <w:drawing>
            <wp:anchor distT="0" distB="0" distL="0" distR="0" simplePos="0" relativeHeight="251660288" behindDoc="0" locked="0" layoutInCell="1" allowOverlap="1" wp14:anchorId="4A9916A1" wp14:editId="7ABE4F3B">
              <wp:simplePos x="914400" y="10071100"/>
              <wp:positionH relativeFrom="page">
                <wp:align>center</wp:align>
              </wp:positionH>
              <wp:positionV relativeFrom="page">
                <wp:align>bottom</wp:align>
              </wp:positionV>
              <wp:extent cx="443865" cy="443865"/>
              <wp:effectExtent l="0" t="0" r="16510" b="0"/>
              <wp:wrapNone/>
              <wp:docPr id="906896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7CEB" w:rsidR="00247CEB" w:rsidP="00247CEB" w:rsidRDefault="00247CEB" w14:paraId="78CC20E3" w14:textId="4A16A45E">
                          <w:pPr>
                            <w:spacing w:after="0"/>
                            <w:rPr>
                              <w:rFonts w:ascii="Calibri" w:hAnsi="Calibri" w:eastAsia="Calibri" w:cs="Calibri"/>
                              <w:noProof/>
                              <w:color w:val="000000"/>
                              <w:sz w:val="20"/>
                              <w:szCs w:val="20"/>
                            </w:rPr>
                          </w:pPr>
                          <w:r w:rsidRPr="00247CEB">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A9916A1">
              <v:stroke joinstyle="miter"/>
              <v:path gradientshapeok="t" o:connecttype="rect"/>
            </v:shapetype>
            <v:shape id="Text Box 5"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247CEB" w:rsidR="00247CEB" w:rsidP="00247CEB" w:rsidRDefault="00247CEB" w14:paraId="78CC20E3" w14:textId="4A16A45E">
                    <w:pPr>
                      <w:spacing w:after="0"/>
                      <w:rPr>
                        <w:rFonts w:ascii="Calibri" w:hAnsi="Calibri" w:eastAsia="Calibri" w:cs="Calibri"/>
                        <w:noProof/>
                        <w:color w:val="000000"/>
                        <w:sz w:val="20"/>
                        <w:szCs w:val="20"/>
                      </w:rPr>
                    </w:pPr>
                    <w:r w:rsidRPr="00247CEB">
                      <w:rPr>
                        <w:rFonts w:ascii="Calibri" w:hAnsi="Calibri" w:eastAsia="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A33BF" w:rsidRDefault="00247CEB" w14:paraId="42E74844" w14:textId="0494EC4A">
    <w:pPr>
      <w:pStyle w:val="Footer"/>
    </w:pPr>
    <w:r>
      <w:rPr>
        <w:noProof/>
      </w:rPr>
      <mc:AlternateContent>
        <mc:Choice Requires="wps">
          <w:drawing>
            <wp:anchor distT="0" distB="0" distL="0" distR="0" simplePos="0" relativeHeight="251658240" behindDoc="0" locked="0" layoutInCell="1" allowOverlap="1" wp14:anchorId="60397772" wp14:editId="79139CFD">
              <wp:simplePos x="635" y="635"/>
              <wp:positionH relativeFrom="page">
                <wp:align>center</wp:align>
              </wp:positionH>
              <wp:positionV relativeFrom="page">
                <wp:align>bottom</wp:align>
              </wp:positionV>
              <wp:extent cx="443865" cy="443865"/>
              <wp:effectExtent l="0" t="0" r="16510" b="0"/>
              <wp:wrapNone/>
              <wp:docPr id="106853173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7CEB" w:rsidR="00247CEB" w:rsidP="00247CEB" w:rsidRDefault="00247CEB" w14:paraId="2D18A6DE" w14:textId="25C6630C">
                          <w:pPr>
                            <w:spacing w:after="0"/>
                            <w:rPr>
                              <w:rFonts w:ascii="Calibri" w:hAnsi="Calibri" w:eastAsia="Calibri" w:cs="Calibri"/>
                              <w:noProof/>
                              <w:color w:val="000000"/>
                              <w:sz w:val="20"/>
                              <w:szCs w:val="20"/>
                            </w:rPr>
                          </w:pPr>
                          <w:r w:rsidRPr="00247CEB">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0397772">
              <v:stroke joinstyle="miter"/>
              <v:path gradientshapeok="t" o:connecttype="rect"/>
            </v:shapetype>
            <v:shape id="Text Box 3"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247CEB" w:rsidR="00247CEB" w:rsidP="00247CEB" w:rsidRDefault="00247CEB" w14:paraId="2D18A6DE" w14:textId="25C6630C">
                    <w:pPr>
                      <w:spacing w:after="0"/>
                      <w:rPr>
                        <w:rFonts w:ascii="Calibri" w:hAnsi="Calibri" w:eastAsia="Calibri" w:cs="Calibri"/>
                        <w:noProof/>
                        <w:color w:val="000000"/>
                        <w:sz w:val="20"/>
                        <w:szCs w:val="20"/>
                      </w:rPr>
                    </w:pPr>
                    <w:r w:rsidRPr="00247CEB">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7CEB" w:rsidP="00247CEB" w:rsidRDefault="00247CEB" w14:paraId="3D07A8D7" w14:textId="77777777">
      <w:pPr>
        <w:spacing w:after="0" w:line="240" w:lineRule="auto"/>
      </w:pPr>
      <w:r>
        <w:separator/>
      </w:r>
    </w:p>
  </w:footnote>
  <w:footnote w:type="continuationSeparator" w:id="0">
    <w:p w:rsidR="00247CEB" w:rsidP="00247CEB" w:rsidRDefault="00247CEB" w14:paraId="6CE91A4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36A9B"/>
    <w:multiLevelType w:val="multilevel"/>
    <w:tmpl w:val="10FE5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7F15109D"/>
    <w:multiLevelType w:val="hybridMultilevel"/>
    <w:tmpl w:val="19F8B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7503603">
    <w:abstractNumId w:val="1"/>
  </w:num>
  <w:num w:numId="2" w16cid:durableId="15075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FC"/>
    <w:rsid w:val="0000473E"/>
    <w:rsid w:val="00007274"/>
    <w:rsid w:val="0001087A"/>
    <w:rsid w:val="00011981"/>
    <w:rsid w:val="00026345"/>
    <w:rsid w:val="0006797E"/>
    <w:rsid w:val="00091434"/>
    <w:rsid w:val="000942E2"/>
    <w:rsid w:val="000B2F2D"/>
    <w:rsid w:val="000B6D19"/>
    <w:rsid w:val="000C43E2"/>
    <w:rsid w:val="000F6D08"/>
    <w:rsid w:val="00125651"/>
    <w:rsid w:val="00125B23"/>
    <w:rsid w:val="00135A91"/>
    <w:rsid w:val="00146476"/>
    <w:rsid w:val="00164972"/>
    <w:rsid w:val="001659F5"/>
    <w:rsid w:val="00174737"/>
    <w:rsid w:val="001756F8"/>
    <w:rsid w:val="001C2611"/>
    <w:rsid w:val="001C659A"/>
    <w:rsid w:val="001D13F0"/>
    <w:rsid w:val="00205194"/>
    <w:rsid w:val="0022427F"/>
    <w:rsid w:val="0023029D"/>
    <w:rsid w:val="002460DA"/>
    <w:rsid w:val="00247CEB"/>
    <w:rsid w:val="00252ABB"/>
    <w:rsid w:val="002537FE"/>
    <w:rsid w:val="00253DEB"/>
    <w:rsid w:val="00254A1F"/>
    <w:rsid w:val="00263EFA"/>
    <w:rsid w:val="00274D52"/>
    <w:rsid w:val="00275DD9"/>
    <w:rsid w:val="00286602"/>
    <w:rsid w:val="002A4F44"/>
    <w:rsid w:val="002C7D11"/>
    <w:rsid w:val="002D60EA"/>
    <w:rsid w:val="002E3AE7"/>
    <w:rsid w:val="003010AF"/>
    <w:rsid w:val="003050BB"/>
    <w:rsid w:val="00311A04"/>
    <w:rsid w:val="003147A4"/>
    <w:rsid w:val="00315740"/>
    <w:rsid w:val="00331DBA"/>
    <w:rsid w:val="00331EC0"/>
    <w:rsid w:val="003455BE"/>
    <w:rsid w:val="00367850"/>
    <w:rsid w:val="00376C31"/>
    <w:rsid w:val="003951DA"/>
    <w:rsid w:val="003B77AC"/>
    <w:rsid w:val="003C429A"/>
    <w:rsid w:val="003C478C"/>
    <w:rsid w:val="00437A75"/>
    <w:rsid w:val="00446F5D"/>
    <w:rsid w:val="004508AF"/>
    <w:rsid w:val="004633C0"/>
    <w:rsid w:val="004742C1"/>
    <w:rsid w:val="00474533"/>
    <w:rsid w:val="00475C85"/>
    <w:rsid w:val="00486D14"/>
    <w:rsid w:val="004A6898"/>
    <w:rsid w:val="004B4942"/>
    <w:rsid w:val="004C0EA2"/>
    <w:rsid w:val="004E217C"/>
    <w:rsid w:val="004E7838"/>
    <w:rsid w:val="00503E5F"/>
    <w:rsid w:val="00504A48"/>
    <w:rsid w:val="005115DE"/>
    <w:rsid w:val="00512733"/>
    <w:rsid w:val="005310A0"/>
    <w:rsid w:val="00560AFC"/>
    <w:rsid w:val="00570A8D"/>
    <w:rsid w:val="00572EAC"/>
    <w:rsid w:val="00574572"/>
    <w:rsid w:val="00585341"/>
    <w:rsid w:val="00597941"/>
    <w:rsid w:val="005B24C0"/>
    <w:rsid w:val="005B26D5"/>
    <w:rsid w:val="005C65DC"/>
    <w:rsid w:val="005E42C0"/>
    <w:rsid w:val="0060726F"/>
    <w:rsid w:val="006357CF"/>
    <w:rsid w:val="006437C5"/>
    <w:rsid w:val="006477AB"/>
    <w:rsid w:val="00673424"/>
    <w:rsid w:val="00685BD5"/>
    <w:rsid w:val="006876B0"/>
    <w:rsid w:val="00693FC1"/>
    <w:rsid w:val="006A33BF"/>
    <w:rsid w:val="006B07B5"/>
    <w:rsid w:val="006C3965"/>
    <w:rsid w:val="006D2545"/>
    <w:rsid w:val="006F0788"/>
    <w:rsid w:val="007052C3"/>
    <w:rsid w:val="0071221F"/>
    <w:rsid w:val="00720EC8"/>
    <w:rsid w:val="007423DD"/>
    <w:rsid w:val="00753038"/>
    <w:rsid w:val="0077284B"/>
    <w:rsid w:val="00775159"/>
    <w:rsid w:val="0077630D"/>
    <w:rsid w:val="00780642"/>
    <w:rsid w:val="007850C9"/>
    <w:rsid w:val="007A7D60"/>
    <w:rsid w:val="007B5586"/>
    <w:rsid w:val="007D2AC0"/>
    <w:rsid w:val="007D7363"/>
    <w:rsid w:val="00820A79"/>
    <w:rsid w:val="00846FB7"/>
    <w:rsid w:val="00853993"/>
    <w:rsid w:val="00855EB3"/>
    <w:rsid w:val="008743CB"/>
    <w:rsid w:val="00875AA4"/>
    <w:rsid w:val="00894DEC"/>
    <w:rsid w:val="008A1E56"/>
    <w:rsid w:val="008A4CDE"/>
    <w:rsid w:val="008B2245"/>
    <w:rsid w:val="008C791E"/>
    <w:rsid w:val="008E2D93"/>
    <w:rsid w:val="008E4EF5"/>
    <w:rsid w:val="008F79BC"/>
    <w:rsid w:val="00900E43"/>
    <w:rsid w:val="00903CBD"/>
    <w:rsid w:val="00904E42"/>
    <w:rsid w:val="00914F0D"/>
    <w:rsid w:val="00926BDB"/>
    <w:rsid w:val="009544A5"/>
    <w:rsid w:val="00965996"/>
    <w:rsid w:val="009673DD"/>
    <w:rsid w:val="00971AA4"/>
    <w:rsid w:val="0098556E"/>
    <w:rsid w:val="0098792F"/>
    <w:rsid w:val="009A13AE"/>
    <w:rsid w:val="009B7365"/>
    <w:rsid w:val="009D7101"/>
    <w:rsid w:val="009D7575"/>
    <w:rsid w:val="009E577A"/>
    <w:rsid w:val="00A2426D"/>
    <w:rsid w:val="00A32F06"/>
    <w:rsid w:val="00A50ABD"/>
    <w:rsid w:val="00A526FC"/>
    <w:rsid w:val="00A6613F"/>
    <w:rsid w:val="00A71201"/>
    <w:rsid w:val="00A750DF"/>
    <w:rsid w:val="00A7553A"/>
    <w:rsid w:val="00A9777B"/>
    <w:rsid w:val="00AB47CD"/>
    <w:rsid w:val="00AC5487"/>
    <w:rsid w:val="00AD2E3B"/>
    <w:rsid w:val="00AF2F14"/>
    <w:rsid w:val="00B00F89"/>
    <w:rsid w:val="00B05F2F"/>
    <w:rsid w:val="00B327F3"/>
    <w:rsid w:val="00B46A2A"/>
    <w:rsid w:val="00B51DA3"/>
    <w:rsid w:val="00B53EDA"/>
    <w:rsid w:val="00B617F7"/>
    <w:rsid w:val="00B71F32"/>
    <w:rsid w:val="00B74526"/>
    <w:rsid w:val="00B96064"/>
    <w:rsid w:val="00BA30FD"/>
    <w:rsid w:val="00BB3D32"/>
    <w:rsid w:val="00BC36B0"/>
    <w:rsid w:val="00C10E3E"/>
    <w:rsid w:val="00C34C6E"/>
    <w:rsid w:val="00C3634D"/>
    <w:rsid w:val="00C46402"/>
    <w:rsid w:val="00C5486E"/>
    <w:rsid w:val="00C57DBC"/>
    <w:rsid w:val="00C60699"/>
    <w:rsid w:val="00C663B8"/>
    <w:rsid w:val="00C8368D"/>
    <w:rsid w:val="00C86C8E"/>
    <w:rsid w:val="00CB0F4A"/>
    <w:rsid w:val="00CD5277"/>
    <w:rsid w:val="00CD5D46"/>
    <w:rsid w:val="00CF3293"/>
    <w:rsid w:val="00CF46CF"/>
    <w:rsid w:val="00CF769E"/>
    <w:rsid w:val="00D00852"/>
    <w:rsid w:val="00D11586"/>
    <w:rsid w:val="00D30F76"/>
    <w:rsid w:val="00D365FD"/>
    <w:rsid w:val="00D46464"/>
    <w:rsid w:val="00D55802"/>
    <w:rsid w:val="00D604BA"/>
    <w:rsid w:val="00D7167F"/>
    <w:rsid w:val="00D71F8A"/>
    <w:rsid w:val="00D805D4"/>
    <w:rsid w:val="00D87B3D"/>
    <w:rsid w:val="00DD310F"/>
    <w:rsid w:val="00DE531B"/>
    <w:rsid w:val="00DF011E"/>
    <w:rsid w:val="00DF5523"/>
    <w:rsid w:val="00E05788"/>
    <w:rsid w:val="00E1482F"/>
    <w:rsid w:val="00E20253"/>
    <w:rsid w:val="00E22610"/>
    <w:rsid w:val="00E27F13"/>
    <w:rsid w:val="00E34DA2"/>
    <w:rsid w:val="00E363A0"/>
    <w:rsid w:val="00E36BFB"/>
    <w:rsid w:val="00E41BA0"/>
    <w:rsid w:val="00E676C6"/>
    <w:rsid w:val="00E82075"/>
    <w:rsid w:val="00E83373"/>
    <w:rsid w:val="00E94008"/>
    <w:rsid w:val="00EB1E83"/>
    <w:rsid w:val="00EB37E3"/>
    <w:rsid w:val="00EB3AE3"/>
    <w:rsid w:val="00EC15FC"/>
    <w:rsid w:val="00EC1F5D"/>
    <w:rsid w:val="00EC55C2"/>
    <w:rsid w:val="00ED5640"/>
    <w:rsid w:val="00EE531C"/>
    <w:rsid w:val="00EF1D98"/>
    <w:rsid w:val="00EF7797"/>
    <w:rsid w:val="00F154C7"/>
    <w:rsid w:val="00F24290"/>
    <w:rsid w:val="00F370A4"/>
    <w:rsid w:val="00F41363"/>
    <w:rsid w:val="00F67459"/>
    <w:rsid w:val="00F74840"/>
    <w:rsid w:val="00F75346"/>
    <w:rsid w:val="00F80647"/>
    <w:rsid w:val="00F91131"/>
    <w:rsid w:val="00FB6501"/>
    <w:rsid w:val="00FC2B8D"/>
    <w:rsid w:val="00FC57A6"/>
    <w:rsid w:val="00FC7F23"/>
    <w:rsid w:val="00FF0FD3"/>
    <w:rsid w:val="00FF349A"/>
    <w:rsid w:val="0DF2A950"/>
    <w:rsid w:val="1EF70692"/>
    <w:rsid w:val="236D25CA"/>
    <w:rsid w:val="2646B8B9"/>
    <w:rsid w:val="2CF7F6CC"/>
    <w:rsid w:val="2DF20348"/>
    <w:rsid w:val="338C16F4"/>
    <w:rsid w:val="37858C20"/>
    <w:rsid w:val="4623950F"/>
    <w:rsid w:val="4AAB7553"/>
    <w:rsid w:val="5AAA1CDC"/>
    <w:rsid w:val="5E838F48"/>
    <w:rsid w:val="685588CB"/>
    <w:rsid w:val="6EC5A022"/>
    <w:rsid w:val="75F5B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219B"/>
  <w15:chartTrackingRefBased/>
  <w15:docId w15:val="{9B352158-2127-45A0-BB8C-E05EEE28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26FC"/>
  </w:style>
  <w:style w:type="paragraph" w:styleId="Heading1">
    <w:name w:val="heading 1"/>
    <w:basedOn w:val="Normal"/>
    <w:next w:val="Normal"/>
    <w:link w:val="Heading1Char"/>
    <w:uiPriority w:val="9"/>
    <w:qFormat/>
    <w:rsid w:val="00A526F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A526FC"/>
    <w:pPr>
      <w:spacing w:after="0" w:line="240" w:lineRule="auto"/>
    </w:pPr>
  </w:style>
  <w:style w:type="paragraph" w:styleId="Footer">
    <w:name w:val="footer"/>
    <w:basedOn w:val="Normal"/>
    <w:link w:val="FooterChar"/>
    <w:uiPriority w:val="99"/>
    <w:unhideWhenUsed/>
    <w:rsid w:val="00A526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A526FC"/>
  </w:style>
  <w:style w:type="table" w:styleId="Style1" w:customStyle="1">
    <w:name w:val="Style1"/>
    <w:basedOn w:val="TableNormal"/>
    <w:uiPriority w:val="99"/>
    <w:rsid w:val="00A526FC"/>
    <w:pPr>
      <w:spacing w:after="0" w:line="240" w:lineRule="auto"/>
    </w:pPr>
    <w:tblPr>
      <w:tblBorders>
        <w:top w:val="single" w:color="000000" w:themeColor="text1" w:sz="4" w:space="0"/>
        <w:bottom w:val="single" w:color="000000" w:themeColor="text1" w:sz="4" w:space="0"/>
        <w:insideH w:val="single" w:color="000000" w:themeColor="text1" w:sz="4" w:space="0"/>
      </w:tblBorders>
    </w:tblPr>
    <w:tcPr>
      <w:shd w:val="clear" w:color="auto" w:fill="auto"/>
      <w:vAlign w:val="center"/>
    </w:tcPr>
  </w:style>
  <w:style w:type="character" w:styleId="Heading1Char" w:customStyle="1">
    <w:name w:val="Heading 1 Char"/>
    <w:basedOn w:val="DefaultParagraphFont"/>
    <w:link w:val="Heading1"/>
    <w:uiPriority w:val="9"/>
    <w:rsid w:val="00A526FC"/>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A526FC"/>
    <w:pPr>
      <w:outlineLvl w:val="9"/>
    </w:pPr>
    <w:rPr>
      <w:kern w:val="0"/>
      <w:lang w:val="en-US"/>
      <w14:ligatures w14:val="none"/>
    </w:rPr>
  </w:style>
  <w:style w:type="paragraph" w:styleId="TOC1">
    <w:name w:val="toc 1"/>
    <w:basedOn w:val="Normal"/>
    <w:next w:val="Normal"/>
    <w:autoRedefine/>
    <w:uiPriority w:val="39"/>
    <w:unhideWhenUsed/>
    <w:rsid w:val="00A526FC"/>
    <w:pPr>
      <w:spacing w:after="100"/>
    </w:pPr>
  </w:style>
  <w:style w:type="character" w:styleId="Hyperlink">
    <w:name w:val="Hyperlink"/>
    <w:basedOn w:val="DefaultParagraphFont"/>
    <w:uiPriority w:val="99"/>
    <w:unhideWhenUsed/>
    <w:rsid w:val="00A526FC"/>
    <w:rPr>
      <w:color w:val="0563C1" w:themeColor="hyperlink"/>
      <w:u w:val="single"/>
    </w:rPr>
  </w:style>
  <w:style w:type="paragraph" w:styleId="BodyText">
    <w:name w:val="Body Text"/>
    <w:basedOn w:val="Normal"/>
    <w:link w:val="BodyTextChar"/>
    <w:uiPriority w:val="1"/>
    <w:qFormat/>
    <w:rsid w:val="00D805D4"/>
    <w:pPr>
      <w:widowControl w:val="0"/>
      <w:autoSpaceDE w:val="0"/>
      <w:autoSpaceDN w:val="0"/>
      <w:spacing w:after="0" w:line="240" w:lineRule="auto"/>
    </w:pPr>
    <w:rPr>
      <w:rFonts w:ascii="Arial" w:hAnsi="Arial" w:eastAsia="Arial" w:cs="Arial"/>
      <w:kern w:val="0"/>
      <w:lang w:eastAsia="en-GB" w:bidi="en-GB"/>
      <w14:ligatures w14:val="none"/>
    </w:rPr>
  </w:style>
  <w:style w:type="character" w:styleId="BodyTextChar" w:customStyle="1">
    <w:name w:val="Body Text Char"/>
    <w:basedOn w:val="DefaultParagraphFont"/>
    <w:link w:val="BodyText"/>
    <w:uiPriority w:val="1"/>
    <w:rsid w:val="00D805D4"/>
    <w:rPr>
      <w:rFonts w:ascii="Arial" w:hAnsi="Arial" w:eastAsia="Arial" w:cs="Arial"/>
      <w:kern w:val="0"/>
      <w:lang w:eastAsia="en-GB" w:bidi="en-GB"/>
      <w14:ligatures w14:val="none"/>
    </w:rPr>
  </w:style>
  <w:style w:type="paragraph" w:styleId="ListParagraph">
    <w:name w:val="List Paragraph"/>
    <w:basedOn w:val="Normal"/>
    <w:uiPriority w:val="34"/>
    <w:qFormat/>
    <w:rsid w:val="004B4942"/>
    <w:pPr>
      <w:ind w:left="720"/>
      <w:contextualSpacing/>
    </w:pPr>
  </w:style>
  <w:style w:type="paragraph" w:styleId="NormalWeb">
    <w:name w:val="Normal (Web)"/>
    <w:basedOn w:val="Normal"/>
    <w:uiPriority w:val="99"/>
    <w:semiHidden/>
    <w:unhideWhenUsed/>
    <w:rsid w:val="00693FC1"/>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table" w:styleId="TableGrid">
    <w:name w:val="Table Grid"/>
    <w:basedOn w:val="TableNormal"/>
    <w:uiPriority w:val="39"/>
    <w:rsid w:val="00EB1E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3">
    <w:name w:val="Plain Table 3"/>
    <w:basedOn w:val="TableNormal"/>
    <w:uiPriority w:val="43"/>
    <w:rsid w:val="00A750DF"/>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9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6003C5C444E84CBD6559525631DD9B" ma:contentTypeVersion="9" ma:contentTypeDescription="Create a new document." ma:contentTypeScope="" ma:versionID="621dcd7c028b1b97b3b327ffb95d1a0c">
  <xsd:schema xmlns:xsd="http://www.w3.org/2001/XMLSchema" xmlns:xs="http://www.w3.org/2001/XMLSchema" xmlns:p="http://schemas.microsoft.com/office/2006/metadata/properties" xmlns:ns2="c37830bb-8606-43d6-ba00-fc3670894170" targetNamespace="http://schemas.microsoft.com/office/2006/metadata/properties" ma:root="true" ma:fieldsID="23fffe731e9e6745fb16ef59959789d4" ns2:_="">
    <xsd:import namespace="c37830bb-8606-43d6-ba00-fc36708941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30bb-8606-43d6-ba00-fc3670894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A632C-DA55-4A4E-8279-3D6EAAB79870}">
  <ds:schemaRefs>
    <ds:schemaRef ds:uri="http://schemas.openxmlformats.org/officeDocument/2006/bibliography"/>
  </ds:schemaRefs>
</ds:datastoreItem>
</file>

<file path=customXml/itemProps2.xml><?xml version="1.0" encoding="utf-8"?>
<ds:datastoreItem xmlns:ds="http://schemas.openxmlformats.org/officeDocument/2006/customXml" ds:itemID="{02226B1B-11E4-4469-B30C-91AE9AC2C7A2}">
  <ds:schemaRefs>
    <ds:schemaRef ds:uri="http://purl.org/dc/dcmitype/"/>
    <ds:schemaRef ds:uri="http://schemas.microsoft.com/office/infopath/2007/PartnerControls"/>
    <ds:schemaRef ds:uri="http://purl.org/dc/elements/1.1/"/>
    <ds:schemaRef ds:uri="http://schemas.microsoft.com/office/2006/documentManagement/types"/>
    <ds:schemaRef ds:uri="c37830bb-8606-43d6-ba00-fc3670894170"/>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F0ADF14-3975-41E0-B220-A6B77FE75C2D}">
  <ds:schemaRefs>
    <ds:schemaRef ds:uri="http://schemas.microsoft.com/sharepoint/v3/contenttype/forms"/>
  </ds:schemaRefs>
</ds:datastoreItem>
</file>

<file path=customXml/itemProps4.xml><?xml version="1.0" encoding="utf-8"?>
<ds:datastoreItem xmlns:ds="http://schemas.openxmlformats.org/officeDocument/2006/customXml" ds:itemID="{9EFA240F-7BA5-4B59-ABAE-A3E38F41D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30bb-8606-43d6-ba00-fc3670894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Birmingham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Nikki Harding</dc:creator>
  <keywords/>
  <dc:description/>
  <lastModifiedBy>Nikki Harding</lastModifiedBy>
  <revision>237</revision>
  <dcterms:created xsi:type="dcterms:W3CDTF">2024-04-03T18:07:00.0000000Z</dcterms:created>
  <dcterms:modified xsi:type="dcterms:W3CDTF">2025-01-29T15:50:43.9786088Z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3fb08017,7eb2f18a,8a61a4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2024-04-03T18:19:40Z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918d8bad-0d76-4167-9668-c990826812ae</vt:lpwstr>
  </property>
  <property fmtid="{D5CDD505-2E9C-101B-9397-08002B2CF9AE}" pid="11" name="MSIP_Label_a17471b1-27ab-4640-9264-e69a67407ca3_ContentBits">
    <vt:lpwstr>2</vt:lpwstr>
  </property>
  <property fmtid="{D5CDD505-2E9C-101B-9397-08002B2CF9AE}" pid="12" name="ContentTypeId">
    <vt:lpwstr>0x0101002D6003C5C444E84CBD6559525631DD9B</vt:lpwstr>
  </property>
</Properties>
</file>